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43F2A">
      <w:pPr>
        <w:keepNext w:val="0"/>
        <w:keepLines w:val="0"/>
        <w:pageBreakBefore w:val="0"/>
        <w:widowControl w:val="0"/>
        <w:kinsoku/>
        <w:overflowPunct/>
        <w:topLinePunct w:val="0"/>
        <w:bidi w:val="0"/>
        <w:snapToGrid/>
        <w:spacing w:line="480" w:lineRule="exact"/>
        <w:jc w:val="center"/>
        <w:textAlignment w:val="auto"/>
        <w:rPr>
          <w:rFonts w:ascii="黑体" w:hAnsi="黑体" w:eastAsia="黑体" w:cs="方正小标宋简体"/>
          <w:bCs/>
          <w:color w:val="auto"/>
          <w:sz w:val="32"/>
          <w:szCs w:val="44"/>
        </w:rPr>
      </w:pPr>
      <w:r>
        <w:rPr>
          <w:rFonts w:hint="eastAsia" w:ascii="黑体" w:hAnsi="黑体" w:eastAsia="黑体" w:cs="方正小标宋简体"/>
          <w:bCs/>
          <w:color w:val="auto"/>
          <w:sz w:val="32"/>
          <w:szCs w:val="44"/>
        </w:rPr>
        <w:t>计算机与人工智能学院硕士研究生国家奖学金评审细则</w:t>
      </w:r>
    </w:p>
    <w:p w14:paraId="5467EDA6">
      <w:pPr>
        <w:keepNext w:val="0"/>
        <w:keepLines w:val="0"/>
        <w:pageBreakBefore w:val="0"/>
        <w:widowControl w:val="0"/>
        <w:kinsoku/>
        <w:overflowPunct/>
        <w:topLinePunct w:val="0"/>
        <w:bidi w:val="0"/>
        <w:snapToGrid/>
        <w:spacing w:line="480" w:lineRule="exact"/>
        <w:jc w:val="center"/>
        <w:textAlignment w:val="auto"/>
        <w:rPr>
          <w:rFonts w:ascii="黑体" w:hAnsi="黑体" w:eastAsia="黑体" w:cs="方正小标宋简体"/>
          <w:bCs/>
          <w:color w:val="auto"/>
          <w:sz w:val="32"/>
          <w:szCs w:val="44"/>
        </w:rPr>
      </w:pPr>
      <w:r>
        <w:rPr>
          <w:rFonts w:hint="eastAsia" w:ascii="黑体" w:hAnsi="黑体" w:eastAsia="黑体" w:cs="方正小标宋简体"/>
          <w:bCs/>
          <w:color w:val="auto"/>
          <w:sz w:val="32"/>
          <w:szCs w:val="44"/>
        </w:rPr>
        <w:t>（202</w:t>
      </w:r>
      <w:r>
        <w:rPr>
          <w:rFonts w:hint="eastAsia" w:ascii="黑体" w:hAnsi="黑体" w:eastAsia="黑体" w:cs="方正小标宋简体"/>
          <w:bCs/>
          <w:color w:val="auto"/>
          <w:sz w:val="32"/>
          <w:szCs w:val="44"/>
          <w:lang w:val="en-US" w:eastAsia="zh-CN"/>
        </w:rPr>
        <w:t>6</w:t>
      </w:r>
      <w:r>
        <w:rPr>
          <w:rFonts w:hint="eastAsia" w:ascii="黑体" w:hAnsi="黑体" w:eastAsia="黑体" w:cs="方正小标宋简体"/>
          <w:bCs/>
          <w:color w:val="auto"/>
          <w:sz w:val="32"/>
          <w:szCs w:val="44"/>
        </w:rPr>
        <w:t>年）</w:t>
      </w:r>
    </w:p>
    <w:p w14:paraId="3214D1E9">
      <w:pPr>
        <w:pStyle w:val="4"/>
        <w:keepNext w:val="0"/>
        <w:keepLines w:val="0"/>
        <w:pageBreakBefore w:val="0"/>
        <w:widowControl w:val="0"/>
        <w:kinsoku/>
        <w:overflowPunct/>
        <w:topLinePunct w:val="0"/>
        <w:autoSpaceDE w:val="0"/>
        <w:autoSpaceDN w:val="0"/>
        <w:bidi w:val="0"/>
        <w:snapToGrid/>
        <w:spacing w:line="480" w:lineRule="exact"/>
        <w:ind w:firstLine="552"/>
        <w:textAlignment w:val="auto"/>
        <w:rPr>
          <w:rFonts w:asciiTheme="minorEastAsia" w:hAnsiTheme="minorEastAsia" w:eastAsiaTheme="minorEastAsia"/>
          <w:color w:val="auto"/>
          <w:spacing w:val="-2"/>
          <w:kern w:val="0"/>
          <w:szCs w:val="28"/>
        </w:rPr>
      </w:pPr>
      <w:r>
        <w:rPr>
          <w:rFonts w:hint="eastAsia" w:asciiTheme="minorEastAsia" w:hAnsiTheme="minorEastAsia" w:eastAsiaTheme="minorEastAsia"/>
          <w:color w:val="auto"/>
          <w:spacing w:val="-2"/>
          <w:kern w:val="0"/>
          <w:szCs w:val="28"/>
        </w:rPr>
        <w:t>研究生国家奖学金由中央财政出资设立，用于奖励普通高等学校中表现优异的全日制研究生，以激励他们勤奋学习、努力进取，在德、智、体、美等方面得到全面发展，根据《武汉理工大学研究生国家奖学金管理暂行办法》（校研字〔2022〕33号）等文件精神与相关要求，结合学院实际，特制定本办法。具体细则如下：</w:t>
      </w:r>
    </w:p>
    <w:p w14:paraId="63C59648">
      <w:pPr>
        <w:pStyle w:val="4"/>
        <w:keepNext w:val="0"/>
        <w:keepLines w:val="0"/>
        <w:pageBreakBefore w:val="0"/>
        <w:widowControl w:val="0"/>
        <w:kinsoku/>
        <w:overflowPunct/>
        <w:topLinePunct w:val="0"/>
        <w:bidi w:val="0"/>
        <w:snapToGrid/>
        <w:spacing w:before="157" w:line="480" w:lineRule="exact"/>
        <w:ind w:firstLine="0" w:firstLineChars="0"/>
        <w:textAlignment w:val="auto"/>
        <w:rPr>
          <w:rFonts w:ascii="黑体" w:eastAsia="黑体"/>
          <w:color w:val="auto"/>
        </w:rPr>
      </w:pPr>
      <w:r>
        <w:rPr>
          <w:rFonts w:ascii="黑体" w:eastAsia="黑体"/>
          <w:color w:val="auto"/>
          <w:spacing w:val="-5"/>
        </w:rPr>
        <w:t>一、评审组织</w:t>
      </w:r>
    </w:p>
    <w:p w14:paraId="2E2342AA">
      <w:pPr>
        <w:pStyle w:val="4"/>
        <w:keepNext w:val="0"/>
        <w:keepLines w:val="0"/>
        <w:pageBreakBefore w:val="0"/>
        <w:widowControl w:val="0"/>
        <w:numPr>
          <w:ilvl w:val="0"/>
          <w:numId w:val="1"/>
        </w:numPr>
        <w:kinsoku/>
        <w:overflowPunct/>
        <w:topLinePunct w:val="0"/>
        <w:bidi w:val="0"/>
        <w:snapToGrid/>
        <w:spacing w:line="480" w:lineRule="exact"/>
        <w:ind w:firstLine="560"/>
        <w:textAlignment w:val="auto"/>
        <w:rPr>
          <w:color w:val="auto"/>
        </w:rPr>
      </w:pPr>
      <w:r>
        <w:rPr>
          <w:color w:val="auto"/>
        </w:rPr>
        <w:t>学院成立“</w:t>
      </w:r>
      <w:r>
        <w:rPr>
          <w:rFonts w:hint="eastAsia"/>
          <w:color w:val="auto"/>
        </w:rPr>
        <w:t>计算机与人工智能</w:t>
      </w:r>
      <w:r>
        <w:rPr>
          <w:color w:val="auto"/>
        </w:rPr>
        <w:t>学院研究生奖学金评审委员会”，负责研究生综合素质测评办法、各类奖学金评审细则的制定</w:t>
      </w:r>
      <w:r>
        <w:rPr>
          <w:rFonts w:hint="eastAsia"/>
          <w:color w:val="auto"/>
        </w:rPr>
        <w:t>，充分考虑学科评估和发展情况等因素制定名额分配方案，</w:t>
      </w:r>
      <w:r>
        <w:rPr>
          <w:color w:val="auto"/>
        </w:rPr>
        <w:t>组织开展评审工作。学院院长</w:t>
      </w:r>
      <w:r>
        <w:rPr>
          <w:rFonts w:hint="eastAsia"/>
          <w:color w:val="auto"/>
        </w:rPr>
        <w:t>、</w:t>
      </w:r>
      <w:r>
        <w:rPr>
          <w:rFonts w:hint="eastAsia"/>
          <w:color w:val="auto"/>
          <w:lang w:val="en-US" w:eastAsia="zh-CN"/>
        </w:rPr>
        <w:t>党委</w:t>
      </w:r>
      <w:r>
        <w:rPr>
          <w:rFonts w:hint="eastAsia"/>
          <w:color w:val="auto"/>
        </w:rPr>
        <w:t>书记</w:t>
      </w:r>
      <w:r>
        <w:rPr>
          <w:color w:val="auto"/>
        </w:rPr>
        <w:t>任主任委员，分管研究生工作的副院长、学院党委副书记、研究生工作办公室主任、研究生辅导员、研究生导师代表、研究生代表任委员。其中，研究生导师代表每年由学院分学位委员会推荐，研究生代表每年由学院研究生会推荐。</w:t>
      </w:r>
    </w:p>
    <w:p w14:paraId="19C14CED">
      <w:pPr>
        <w:pStyle w:val="4"/>
        <w:keepNext w:val="0"/>
        <w:keepLines w:val="0"/>
        <w:pageBreakBefore w:val="0"/>
        <w:widowControl w:val="0"/>
        <w:numPr>
          <w:ilvl w:val="0"/>
          <w:numId w:val="1"/>
        </w:numPr>
        <w:kinsoku/>
        <w:overflowPunct/>
        <w:topLinePunct w:val="0"/>
        <w:bidi w:val="0"/>
        <w:snapToGrid/>
        <w:spacing w:line="480" w:lineRule="exact"/>
        <w:ind w:firstLine="560"/>
        <w:textAlignment w:val="auto"/>
        <w:rPr>
          <w:color w:val="auto"/>
        </w:rPr>
      </w:pPr>
      <w:r>
        <w:rPr>
          <w:color w:val="auto"/>
        </w:rPr>
        <w:t>各研究生班级成立“研究生奖学金班级评定小组”（以下简称“班级评定小组”）。班级评定小组由团支部书记和班长担任双组长，党员代表、学习委员等各班委以及各寝室代表（不少于5人）担任评定小组成员。</w:t>
      </w:r>
    </w:p>
    <w:p w14:paraId="27B0D96B">
      <w:pPr>
        <w:pStyle w:val="4"/>
        <w:keepNext w:val="0"/>
        <w:keepLines w:val="0"/>
        <w:pageBreakBefore w:val="0"/>
        <w:widowControl w:val="0"/>
        <w:numPr>
          <w:ilvl w:val="0"/>
          <w:numId w:val="1"/>
        </w:numPr>
        <w:kinsoku/>
        <w:overflowPunct/>
        <w:topLinePunct w:val="0"/>
        <w:bidi w:val="0"/>
        <w:snapToGrid/>
        <w:spacing w:line="480" w:lineRule="exact"/>
        <w:ind w:firstLine="560"/>
        <w:textAlignment w:val="auto"/>
        <w:rPr>
          <w:color w:val="auto"/>
        </w:rPr>
      </w:pPr>
      <w:r>
        <w:rPr>
          <w:color w:val="auto"/>
        </w:rPr>
        <w:t>奖学金评审工作须坚持公平、公正、公开和择优原则,评审委员会成员在履行评审工作职责时应遵循平等、公正、回避和保密原则，杜绝弄虚作假。评定程序严格遵循“学生申请、班级评定小组</w:t>
      </w:r>
      <w:r>
        <w:rPr>
          <w:rFonts w:hint="eastAsia"/>
          <w:color w:val="auto"/>
        </w:rPr>
        <w:t>审核</w:t>
      </w:r>
      <w:r>
        <w:rPr>
          <w:color w:val="auto"/>
        </w:rPr>
        <w:t>、学院评审委员会</w:t>
      </w:r>
      <w:r>
        <w:rPr>
          <w:rFonts w:hint="eastAsia"/>
          <w:color w:val="auto"/>
        </w:rPr>
        <w:t>复核评定</w:t>
      </w:r>
      <w:r>
        <w:rPr>
          <w:color w:val="auto"/>
        </w:rPr>
        <w:t>”程序进行。</w:t>
      </w:r>
      <w:r>
        <w:rPr>
          <w:rFonts w:hint="eastAsia"/>
          <w:color w:val="auto"/>
        </w:rPr>
        <w:t>由学院国家奖学金评审委员会根据学院国家奖学金指标按综合排名结果确定上报学校最终名单。</w:t>
      </w:r>
    </w:p>
    <w:p w14:paraId="5A4C6B8E">
      <w:pPr>
        <w:pStyle w:val="4"/>
        <w:keepNext w:val="0"/>
        <w:keepLines w:val="0"/>
        <w:pageBreakBefore w:val="0"/>
        <w:widowControl w:val="0"/>
        <w:numPr>
          <w:ilvl w:val="0"/>
          <w:numId w:val="1"/>
        </w:numPr>
        <w:kinsoku/>
        <w:overflowPunct/>
        <w:topLinePunct w:val="0"/>
        <w:bidi w:val="0"/>
        <w:snapToGrid/>
        <w:spacing w:line="480" w:lineRule="exact"/>
        <w:ind w:firstLine="560"/>
        <w:textAlignment w:val="auto"/>
        <w:rPr>
          <w:rFonts w:ascii="宋体" w:hAnsi="宋体" w:eastAsia="宋体" w:cs="仿宋_GB2312"/>
          <w:color w:val="auto"/>
        </w:rPr>
      </w:pPr>
      <w:r>
        <w:rPr>
          <w:rFonts w:ascii="宋体" w:hAnsi="宋体" w:eastAsia="宋体" w:cs="仿宋_GB2312"/>
          <w:color w:val="auto"/>
        </w:rPr>
        <w:t>评审专家委员会成员在履行评审职责时应遵循以下原则：</w:t>
      </w:r>
    </w:p>
    <w:p w14:paraId="06D9CAD4">
      <w:pPr>
        <w:pStyle w:val="4"/>
        <w:keepNext w:val="0"/>
        <w:keepLines w:val="0"/>
        <w:pageBreakBefore w:val="0"/>
        <w:widowControl w:val="0"/>
        <w:numPr>
          <w:ilvl w:val="-1"/>
          <w:numId w:val="0"/>
        </w:numPr>
        <w:kinsoku/>
        <w:overflowPunct/>
        <w:topLinePunct w:val="0"/>
        <w:bidi w:val="0"/>
        <w:snapToGrid/>
        <w:spacing w:line="480" w:lineRule="exact"/>
        <w:ind w:leftChars="0" w:firstLine="560" w:firstLineChars="200"/>
        <w:textAlignment w:val="auto"/>
        <w:rPr>
          <w:rFonts w:ascii="宋体" w:hAnsi="宋体" w:eastAsia="宋体" w:cs="仿宋_GB2312"/>
          <w:color w:val="auto"/>
        </w:rPr>
      </w:pPr>
      <w:r>
        <w:rPr>
          <w:rFonts w:ascii="宋体" w:hAnsi="宋体" w:eastAsia="宋体" w:cs="仿宋_GB2312"/>
          <w:color w:val="auto"/>
        </w:rPr>
        <w:t>（1）平等原则：在评审过程中，积极听取其他委员意见，平等协商提出评审意见；</w:t>
      </w:r>
    </w:p>
    <w:p w14:paraId="58007F7B">
      <w:pPr>
        <w:pStyle w:val="4"/>
        <w:keepNext w:val="0"/>
        <w:keepLines w:val="0"/>
        <w:pageBreakBefore w:val="0"/>
        <w:widowControl w:val="0"/>
        <w:numPr>
          <w:ilvl w:val="-1"/>
          <w:numId w:val="0"/>
        </w:numPr>
        <w:kinsoku/>
        <w:overflowPunct/>
        <w:topLinePunct w:val="0"/>
        <w:bidi w:val="0"/>
        <w:snapToGrid/>
        <w:spacing w:line="480" w:lineRule="exact"/>
        <w:ind w:leftChars="0" w:firstLine="560" w:firstLineChars="200"/>
        <w:textAlignment w:val="auto"/>
        <w:rPr>
          <w:rFonts w:hint="default" w:ascii="宋体" w:hAnsi="宋体" w:eastAsia="宋体" w:cs="仿宋_GB2312"/>
          <w:color w:val="auto"/>
        </w:rPr>
      </w:pPr>
      <w:r>
        <w:rPr>
          <w:rFonts w:ascii="宋体" w:hAnsi="宋体" w:eastAsia="宋体" w:cs="仿宋_GB2312"/>
          <w:color w:val="auto"/>
        </w:rPr>
        <w:t>（2）回避原则：如存在与评审对象有亲属关系、直接经济利益关系或其他可能影响评审公正性的情形，应主动向评审领导小组申请回避；</w:t>
      </w:r>
    </w:p>
    <w:p w14:paraId="393A5982">
      <w:pPr>
        <w:pStyle w:val="4"/>
        <w:keepNext w:val="0"/>
        <w:keepLines w:val="0"/>
        <w:pageBreakBefore w:val="0"/>
        <w:widowControl w:val="0"/>
        <w:numPr>
          <w:ilvl w:val="-1"/>
          <w:numId w:val="0"/>
        </w:numPr>
        <w:kinsoku/>
        <w:overflowPunct/>
        <w:topLinePunct w:val="0"/>
        <w:bidi w:val="0"/>
        <w:snapToGrid/>
        <w:spacing w:line="480" w:lineRule="exact"/>
        <w:ind w:leftChars="0" w:firstLine="560" w:firstLineChars="200"/>
        <w:textAlignment w:val="auto"/>
        <w:rPr>
          <w:rFonts w:hint="default" w:ascii="宋体" w:hAnsi="宋体" w:eastAsia="宋体" w:cs="仿宋_GB2312"/>
          <w:color w:val="auto"/>
        </w:rPr>
      </w:pPr>
      <w:r>
        <w:rPr>
          <w:rFonts w:ascii="宋体" w:hAnsi="宋体" w:eastAsia="宋体" w:cs="仿宋_GB2312"/>
          <w:color w:val="auto"/>
        </w:rPr>
        <w:t>（3）公正原则：不得利用评审委员的特殊身份和影响力，单独或与有关人员共同为评审对象提供获奖便利；</w:t>
      </w:r>
    </w:p>
    <w:p w14:paraId="2F164138">
      <w:pPr>
        <w:pStyle w:val="4"/>
        <w:keepNext w:val="0"/>
        <w:keepLines w:val="0"/>
        <w:pageBreakBefore w:val="0"/>
        <w:widowControl w:val="0"/>
        <w:numPr>
          <w:ilvl w:val="-1"/>
          <w:numId w:val="0"/>
        </w:numPr>
        <w:kinsoku/>
        <w:overflowPunct/>
        <w:topLinePunct w:val="0"/>
        <w:bidi w:val="0"/>
        <w:snapToGrid/>
        <w:spacing w:line="480" w:lineRule="exact"/>
        <w:ind w:leftChars="0" w:firstLine="560" w:firstLineChars="200"/>
        <w:textAlignment w:val="auto"/>
        <w:rPr>
          <w:color w:val="auto"/>
        </w:rPr>
      </w:pPr>
      <w:r>
        <w:rPr>
          <w:rFonts w:ascii="宋体" w:hAnsi="宋体" w:eastAsia="宋体" w:cs="仿宋_GB2312"/>
          <w:color w:val="auto"/>
        </w:rPr>
        <w:t>（4）保密原则：不得擅自披露评审结果及其他评审委员的意见等保密信息。</w:t>
      </w:r>
    </w:p>
    <w:p w14:paraId="5EFF75C3">
      <w:pPr>
        <w:pStyle w:val="4"/>
        <w:keepNext w:val="0"/>
        <w:keepLines w:val="0"/>
        <w:pageBreakBefore w:val="0"/>
        <w:widowControl w:val="0"/>
        <w:kinsoku/>
        <w:overflowPunct/>
        <w:topLinePunct w:val="0"/>
        <w:bidi w:val="0"/>
        <w:snapToGrid/>
        <w:spacing w:before="157" w:line="480" w:lineRule="exact"/>
        <w:ind w:firstLine="0" w:firstLineChars="0"/>
        <w:textAlignment w:val="auto"/>
        <w:rPr>
          <w:rFonts w:ascii="黑体" w:eastAsia="黑体"/>
          <w:color w:val="auto"/>
          <w:spacing w:val="-5"/>
        </w:rPr>
      </w:pPr>
      <w:r>
        <w:rPr>
          <w:rFonts w:ascii="黑体" w:eastAsia="黑体"/>
          <w:color w:val="auto"/>
          <w:spacing w:val="-5"/>
        </w:rPr>
        <w:t>二、评定细则</w:t>
      </w:r>
    </w:p>
    <w:p w14:paraId="0955A54A">
      <w:pPr>
        <w:keepNext w:val="0"/>
        <w:keepLines w:val="0"/>
        <w:pageBreakBefore w:val="0"/>
        <w:widowControl w:val="0"/>
        <w:kinsoku/>
        <w:overflowPunct/>
        <w:topLinePunct w:val="0"/>
        <w:bidi w:val="0"/>
        <w:snapToGrid/>
        <w:spacing w:line="480" w:lineRule="exact"/>
        <w:textAlignment w:val="auto"/>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（一）评审对象</w:t>
      </w:r>
    </w:p>
    <w:p w14:paraId="35B2CD7E">
      <w:pPr>
        <w:pStyle w:val="4"/>
        <w:keepNext w:val="0"/>
        <w:keepLines w:val="0"/>
        <w:pageBreakBefore w:val="0"/>
        <w:widowControl w:val="0"/>
        <w:kinsoku/>
        <w:overflowPunct/>
        <w:topLinePunct w:val="0"/>
        <w:bidi w:val="0"/>
        <w:snapToGrid/>
        <w:spacing w:line="480" w:lineRule="exact"/>
        <w:ind w:firstLine="560"/>
        <w:textAlignment w:val="auto"/>
        <w:rPr>
          <w:color w:val="auto"/>
        </w:rPr>
      </w:pPr>
      <w:r>
        <w:rPr>
          <w:rFonts w:hint="eastAsia"/>
          <w:color w:val="auto"/>
        </w:rPr>
        <w:t>研究生国家奖学金奖励对象为在校全日制研究生。档案（学生身份档案）不在校者，不在参评范围内；超出学制期限的</w:t>
      </w:r>
      <w:r>
        <w:rPr>
          <w:rFonts w:hint="eastAsia"/>
          <w:color w:val="auto"/>
          <w:lang w:val="en-US" w:eastAsia="zh-CN"/>
        </w:rPr>
        <w:t>硕士</w:t>
      </w:r>
      <w:r>
        <w:rPr>
          <w:rFonts w:hint="eastAsia"/>
          <w:color w:val="auto"/>
        </w:rPr>
        <w:t>研究生，原则上不具备参评资格</w:t>
      </w:r>
      <w:r>
        <w:rPr>
          <w:rFonts w:hint="eastAsia"/>
          <w:color w:val="auto"/>
          <w:lang w:eastAsia="zh-CN"/>
        </w:rPr>
        <w:t>；</w:t>
      </w:r>
      <w:r>
        <w:rPr>
          <w:color w:val="auto"/>
        </w:rPr>
        <w:t>在学制期限内，因国家或单位公派出国留学或校际交流在境外学习的</w:t>
      </w:r>
      <w:r>
        <w:rPr>
          <w:rFonts w:hint="eastAsia"/>
          <w:color w:val="auto"/>
          <w:lang w:val="en-US" w:eastAsia="zh-CN"/>
        </w:rPr>
        <w:t>硕士</w:t>
      </w:r>
      <w:r>
        <w:rPr>
          <w:color w:val="auto"/>
        </w:rPr>
        <w:t>研究生，仍具备参评资格；因私出国留学、因病、因创业等个人事由未在校学习的，原则上不具备参评资格。</w:t>
      </w:r>
      <w:r>
        <w:rPr>
          <w:rFonts w:hint="eastAsia"/>
          <w:color w:val="auto"/>
        </w:rPr>
        <w:t>其它类别的研究生，按学校相关规定执行。</w:t>
      </w:r>
    </w:p>
    <w:p w14:paraId="27822ACC">
      <w:pPr>
        <w:keepNext w:val="0"/>
        <w:keepLines w:val="0"/>
        <w:pageBreakBefore w:val="0"/>
        <w:widowControl w:val="0"/>
        <w:kinsoku/>
        <w:overflowPunct/>
        <w:topLinePunct w:val="0"/>
        <w:bidi w:val="0"/>
        <w:snapToGrid/>
        <w:spacing w:line="480" w:lineRule="exact"/>
        <w:textAlignment w:val="auto"/>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（二）奖励标准</w:t>
      </w:r>
    </w:p>
    <w:p w14:paraId="47B0ADA6">
      <w:pPr>
        <w:pStyle w:val="4"/>
        <w:keepNext w:val="0"/>
        <w:keepLines w:val="0"/>
        <w:pageBreakBefore w:val="0"/>
        <w:widowControl w:val="0"/>
        <w:kinsoku/>
        <w:overflowPunct/>
        <w:topLinePunct w:val="0"/>
        <w:bidi w:val="0"/>
        <w:snapToGrid/>
        <w:spacing w:line="480" w:lineRule="exact"/>
        <w:ind w:firstLine="560"/>
        <w:textAlignment w:val="auto"/>
        <w:rPr>
          <w:color w:val="auto"/>
        </w:rPr>
      </w:pPr>
      <w:r>
        <w:rPr>
          <w:color w:val="auto"/>
        </w:rPr>
        <w:t>硕士研究生国家奖学金奖励标准为每生每年2万元。</w:t>
      </w:r>
    </w:p>
    <w:p w14:paraId="60029577">
      <w:pPr>
        <w:keepNext w:val="0"/>
        <w:keepLines w:val="0"/>
        <w:pageBreakBefore w:val="0"/>
        <w:widowControl w:val="0"/>
        <w:kinsoku/>
        <w:overflowPunct/>
        <w:topLinePunct w:val="0"/>
        <w:bidi w:val="0"/>
        <w:snapToGrid/>
        <w:spacing w:line="480" w:lineRule="exact"/>
        <w:textAlignment w:val="auto"/>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（三）申请条件</w:t>
      </w:r>
    </w:p>
    <w:p w14:paraId="5E2CE01A">
      <w:pPr>
        <w:pStyle w:val="4"/>
        <w:keepNext w:val="0"/>
        <w:keepLines w:val="0"/>
        <w:pageBreakBefore w:val="0"/>
        <w:widowControl w:val="0"/>
        <w:numPr>
          <w:ilvl w:val="0"/>
          <w:numId w:val="2"/>
        </w:numPr>
        <w:kinsoku/>
        <w:overflowPunct/>
        <w:topLinePunct w:val="0"/>
        <w:bidi w:val="0"/>
        <w:snapToGrid/>
        <w:spacing w:line="480" w:lineRule="exact"/>
        <w:ind w:firstLine="560"/>
        <w:textAlignment w:val="auto"/>
        <w:rPr>
          <w:color w:val="auto"/>
        </w:rPr>
      </w:pPr>
      <w:r>
        <w:rPr>
          <w:rFonts w:hint="eastAsia"/>
          <w:color w:val="auto"/>
        </w:rPr>
        <w:t>具有中华人民共和国国籍；</w:t>
      </w:r>
    </w:p>
    <w:p w14:paraId="7A9E3888">
      <w:pPr>
        <w:pStyle w:val="4"/>
        <w:keepNext w:val="0"/>
        <w:keepLines w:val="0"/>
        <w:pageBreakBefore w:val="0"/>
        <w:widowControl w:val="0"/>
        <w:numPr>
          <w:ilvl w:val="0"/>
          <w:numId w:val="2"/>
        </w:numPr>
        <w:kinsoku/>
        <w:overflowPunct/>
        <w:topLinePunct w:val="0"/>
        <w:bidi w:val="0"/>
        <w:snapToGrid/>
        <w:spacing w:line="480" w:lineRule="exact"/>
        <w:ind w:firstLine="560"/>
        <w:textAlignment w:val="auto"/>
        <w:rPr>
          <w:color w:val="auto"/>
        </w:rPr>
      </w:pPr>
      <w:r>
        <w:rPr>
          <w:rFonts w:hint="eastAsia"/>
          <w:color w:val="auto"/>
        </w:rPr>
        <w:t>热爱社会主义祖国，拥护中国共产党的领导；</w:t>
      </w:r>
    </w:p>
    <w:p w14:paraId="22EBB99C">
      <w:pPr>
        <w:pStyle w:val="4"/>
        <w:keepNext w:val="0"/>
        <w:keepLines w:val="0"/>
        <w:pageBreakBefore w:val="0"/>
        <w:widowControl w:val="0"/>
        <w:numPr>
          <w:ilvl w:val="0"/>
          <w:numId w:val="2"/>
        </w:numPr>
        <w:kinsoku/>
        <w:overflowPunct/>
        <w:topLinePunct w:val="0"/>
        <w:bidi w:val="0"/>
        <w:snapToGrid/>
        <w:spacing w:line="480" w:lineRule="exact"/>
        <w:ind w:firstLine="560"/>
        <w:textAlignment w:val="auto"/>
        <w:rPr>
          <w:color w:val="auto"/>
        </w:rPr>
      </w:pPr>
      <w:r>
        <w:rPr>
          <w:rFonts w:hint="eastAsia"/>
          <w:color w:val="auto"/>
        </w:rPr>
        <w:t>遵守宪法和法律，遵守高等学校规章制度；</w:t>
      </w:r>
    </w:p>
    <w:p w14:paraId="483C676B">
      <w:pPr>
        <w:pStyle w:val="4"/>
        <w:keepNext w:val="0"/>
        <w:keepLines w:val="0"/>
        <w:pageBreakBefore w:val="0"/>
        <w:widowControl w:val="0"/>
        <w:numPr>
          <w:ilvl w:val="0"/>
          <w:numId w:val="2"/>
        </w:numPr>
        <w:kinsoku/>
        <w:overflowPunct/>
        <w:topLinePunct w:val="0"/>
        <w:bidi w:val="0"/>
        <w:snapToGrid/>
        <w:spacing w:line="480" w:lineRule="exact"/>
        <w:ind w:firstLine="560"/>
        <w:textAlignment w:val="auto"/>
        <w:rPr>
          <w:color w:val="auto"/>
        </w:rPr>
      </w:pPr>
      <w:r>
        <w:rPr>
          <w:rFonts w:hint="eastAsia"/>
          <w:color w:val="auto"/>
        </w:rPr>
        <w:t>诚实守信，道德品质优良；</w:t>
      </w:r>
    </w:p>
    <w:p w14:paraId="5058543A">
      <w:pPr>
        <w:pStyle w:val="4"/>
        <w:keepNext w:val="0"/>
        <w:keepLines w:val="0"/>
        <w:pageBreakBefore w:val="0"/>
        <w:widowControl w:val="0"/>
        <w:numPr>
          <w:ilvl w:val="0"/>
          <w:numId w:val="2"/>
        </w:numPr>
        <w:kinsoku/>
        <w:overflowPunct/>
        <w:topLinePunct w:val="0"/>
        <w:bidi w:val="0"/>
        <w:snapToGrid/>
        <w:spacing w:line="480" w:lineRule="exact"/>
        <w:ind w:firstLine="560"/>
        <w:textAlignment w:val="auto"/>
        <w:rPr>
          <w:color w:val="auto"/>
        </w:rPr>
      </w:pPr>
      <w:r>
        <w:rPr>
          <w:rFonts w:hint="eastAsia"/>
          <w:color w:val="auto"/>
        </w:rPr>
        <w:t>学习成绩优异，科研能力显著，发展潜力突出；</w:t>
      </w:r>
    </w:p>
    <w:p w14:paraId="67A42589">
      <w:pPr>
        <w:pStyle w:val="4"/>
        <w:keepNext w:val="0"/>
        <w:keepLines w:val="0"/>
        <w:pageBreakBefore w:val="0"/>
        <w:widowControl w:val="0"/>
        <w:numPr>
          <w:ilvl w:val="0"/>
          <w:numId w:val="2"/>
        </w:numPr>
        <w:kinsoku/>
        <w:overflowPunct/>
        <w:topLinePunct w:val="0"/>
        <w:bidi w:val="0"/>
        <w:snapToGrid/>
        <w:spacing w:line="480" w:lineRule="exact"/>
        <w:ind w:firstLine="560"/>
        <w:textAlignment w:val="auto"/>
        <w:rPr>
          <w:color w:val="auto"/>
        </w:rPr>
      </w:pPr>
      <w:r>
        <w:rPr>
          <w:rFonts w:hint="eastAsia"/>
          <w:color w:val="auto"/>
        </w:rPr>
        <w:t>在</w:t>
      </w:r>
      <w:r>
        <w:rPr>
          <w:rFonts w:hint="eastAsia"/>
          <w:color w:val="auto"/>
          <w:lang w:val="en-US" w:eastAsia="zh-CN"/>
        </w:rPr>
        <w:t>竞赛、</w:t>
      </w:r>
      <w:r>
        <w:rPr>
          <w:rFonts w:hint="eastAsia"/>
          <w:color w:val="auto"/>
        </w:rPr>
        <w:t>社会工作、社会实践、志愿服务、文艺体育及学术科技活动和其他社会公益活动中取得一定成绩，达到学院所规定的基准分值2分以上。（具体见国家奖学金综合素质测评表细则）</w:t>
      </w:r>
    </w:p>
    <w:p w14:paraId="1F40EB43">
      <w:pPr>
        <w:keepNext w:val="0"/>
        <w:keepLines w:val="0"/>
        <w:pageBreakBefore w:val="0"/>
        <w:widowControl w:val="0"/>
        <w:kinsoku/>
        <w:overflowPunct/>
        <w:topLinePunct w:val="0"/>
        <w:bidi w:val="0"/>
        <w:snapToGrid/>
        <w:spacing w:line="480" w:lineRule="exact"/>
        <w:textAlignment w:val="auto"/>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（四）有以下情况之一者，不具备当年研究生国家奖学金申请条件</w:t>
      </w:r>
    </w:p>
    <w:p w14:paraId="188E31CC">
      <w:pPr>
        <w:pStyle w:val="4"/>
        <w:keepNext w:val="0"/>
        <w:keepLines w:val="0"/>
        <w:pageBreakBefore w:val="0"/>
        <w:widowControl w:val="0"/>
        <w:numPr>
          <w:ilvl w:val="0"/>
          <w:numId w:val="3"/>
        </w:numPr>
        <w:kinsoku/>
        <w:overflowPunct/>
        <w:topLinePunct w:val="0"/>
        <w:bidi w:val="0"/>
        <w:snapToGrid/>
        <w:spacing w:line="480" w:lineRule="exact"/>
        <w:ind w:firstLine="560"/>
        <w:textAlignment w:val="auto"/>
        <w:rPr>
          <w:color w:val="auto"/>
        </w:rPr>
      </w:pPr>
      <w:r>
        <w:rPr>
          <w:rFonts w:hint="eastAsia"/>
          <w:color w:val="auto"/>
        </w:rPr>
        <w:t>参加非法组织及活动，触犯国家法律法规或受到纪律处分并处于处分期内；</w:t>
      </w:r>
    </w:p>
    <w:p w14:paraId="22192B63">
      <w:pPr>
        <w:pStyle w:val="4"/>
        <w:keepNext w:val="0"/>
        <w:keepLines w:val="0"/>
        <w:pageBreakBefore w:val="0"/>
        <w:widowControl w:val="0"/>
        <w:numPr>
          <w:ilvl w:val="0"/>
          <w:numId w:val="3"/>
        </w:numPr>
        <w:kinsoku/>
        <w:overflowPunct/>
        <w:topLinePunct w:val="0"/>
        <w:bidi w:val="0"/>
        <w:snapToGrid/>
        <w:spacing w:line="480" w:lineRule="exact"/>
        <w:ind w:firstLine="560"/>
        <w:textAlignment w:val="auto"/>
        <w:rPr>
          <w:color w:val="auto"/>
        </w:rPr>
      </w:pPr>
      <w:r>
        <w:rPr>
          <w:rFonts w:hint="eastAsia"/>
          <w:color w:val="auto"/>
        </w:rPr>
        <w:t>有抄袭剽窃、弄虚作假等学术不端行为经查证属实，在评奖过程中弄虚作假经查证属实；</w:t>
      </w:r>
    </w:p>
    <w:p w14:paraId="3AA24B5C">
      <w:pPr>
        <w:pStyle w:val="4"/>
        <w:keepNext w:val="0"/>
        <w:keepLines w:val="0"/>
        <w:pageBreakBefore w:val="0"/>
        <w:widowControl w:val="0"/>
        <w:numPr>
          <w:ilvl w:val="0"/>
          <w:numId w:val="3"/>
        </w:numPr>
        <w:kinsoku/>
        <w:overflowPunct/>
        <w:topLinePunct w:val="0"/>
        <w:bidi w:val="0"/>
        <w:snapToGrid/>
        <w:spacing w:line="480" w:lineRule="exact"/>
        <w:ind w:firstLine="560"/>
        <w:textAlignment w:val="auto"/>
        <w:rPr>
          <w:color w:val="auto"/>
        </w:rPr>
      </w:pPr>
      <w:r>
        <w:rPr>
          <w:rFonts w:hint="eastAsia"/>
          <w:color w:val="auto"/>
        </w:rPr>
        <w:t>学籍状态处于休学、保留学籍状态；</w:t>
      </w:r>
    </w:p>
    <w:p w14:paraId="7F31CC74">
      <w:pPr>
        <w:pStyle w:val="4"/>
        <w:keepNext w:val="0"/>
        <w:keepLines w:val="0"/>
        <w:pageBreakBefore w:val="0"/>
        <w:widowControl w:val="0"/>
        <w:numPr>
          <w:ilvl w:val="0"/>
          <w:numId w:val="3"/>
        </w:numPr>
        <w:kinsoku/>
        <w:overflowPunct/>
        <w:topLinePunct w:val="0"/>
        <w:bidi w:val="0"/>
        <w:snapToGrid/>
        <w:spacing w:line="480" w:lineRule="exact"/>
        <w:ind w:firstLine="560"/>
        <w:textAlignment w:val="auto"/>
        <w:rPr>
          <w:color w:val="auto"/>
        </w:rPr>
      </w:pPr>
      <w:r>
        <w:rPr>
          <w:rFonts w:hint="eastAsia"/>
          <w:color w:val="auto"/>
        </w:rPr>
        <w:t>在科研工作中，造成重大事故及损失；</w:t>
      </w:r>
    </w:p>
    <w:p w14:paraId="347D7BA6">
      <w:pPr>
        <w:pStyle w:val="4"/>
        <w:keepNext w:val="0"/>
        <w:keepLines w:val="0"/>
        <w:pageBreakBefore w:val="0"/>
        <w:widowControl w:val="0"/>
        <w:numPr>
          <w:ilvl w:val="0"/>
          <w:numId w:val="3"/>
        </w:numPr>
        <w:kinsoku/>
        <w:overflowPunct/>
        <w:topLinePunct w:val="0"/>
        <w:bidi w:val="0"/>
        <w:snapToGrid/>
        <w:spacing w:line="480" w:lineRule="exact"/>
        <w:ind w:firstLine="560"/>
        <w:textAlignment w:val="auto"/>
        <w:rPr>
          <w:color w:val="auto"/>
        </w:rPr>
      </w:pPr>
      <w:r>
        <w:rPr>
          <w:rFonts w:hint="eastAsia"/>
          <w:color w:val="auto"/>
        </w:rPr>
        <w:t>有课程考核不及格记录或未按照培养计划要求执行；</w:t>
      </w:r>
    </w:p>
    <w:p w14:paraId="4CFD4C5F">
      <w:pPr>
        <w:pStyle w:val="4"/>
        <w:keepNext w:val="0"/>
        <w:keepLines w:val="0"/>
        <w:pageBreakBefore w:val="0"/>
        <w:widowControl w:val="0"/>
        <w:numPr>
          <w:ilvl w:val="0"/>
          <w:numId w:val="3"/>
        </w:numPr>
        <w:kinsoku/>
        <w:overflowPunct/>
        <w:topLinePunct w:val="0"/>
        <w:bidi w:val="0"/>
        <w:snapToGrid/>
        <w:spacing w:line="480" w:lineRule="exact"/>
        <w:ind w:firstLine="560"/>
        <w:textAlignment w:val="auto"/>
        <w:rPr>
          <w:color w:val="auto"/>
        </w:rPr>
      </w:pPr>
      <w:r>
        <w:rPr>
          <w:rFonts w:hint="eastAsia"/>
          <w:color w:val="auto"/>
        </w:rPr>
        <w:t>未按学校规定注册而又无正当事由；</w:t>
      </w:r>
    </w:p>
    <w:p w14:paraId="2C67B3C7">
      <w:pPr>
        <w:pStyle w:val="4"/>
        <w:keepNext w:val="0"/>
        <w:keepLines w:val="0"/>
        <w:pageBreakBefore w:val="0"/>
        <w:widowControl w:val="0"/>
        <w:numPr>
          <w:ilvl w:val="0"/>
          <w:numId w:val="3"/>
        </w:numPr>
        <w:kinsoku/>
        <w:overflowPunct/>
        <w:topLinePunct w:val="0"/>
        <w:bidi w:val="0"/>
        <w:snapToGrid/>
        <w:spacing w:line="480" w:lineRule="exact"/>
        <w:ind w:firstLine="560"/>
        <w:textAlignment w:val="auto"/>
        <w:rPr>
          <w:color w:val="auto"/>
        </w:rPr>
      </w:pPr>
      <w:r>
        <w:rPr>
          <w:rFonts w:hint="eastAsia"/>
          <w:color w:val="auto"/>
        </w:rPr>
        <w:t>有协议约定不参评者或本人在规定的时间内未提出申请者；</w:t>
      </w:r>
    </w:p>
    <w:p w14:paraId="216895EA">
      <w:pPr>
        <w:pStyle w:val="4"/>
        <w:keepNext w:val="0"/>
        <w:keepLines w:val="0"/>
        <w:pageBreakBefore w:val="0"/>
        <w:widowControl w:val="0"/>
        <w:numPr>
          <w:ilvl w:val="0"/>
          <w:numId w:val="3"/>
        </w:numPr>
        <w:kinsoku/>
        <w:overflowPunct/>
        <w:topLinePunct w:val="0"/>
        <w:bidi w:val="0"/>
        <w:snapToGrid/>
        <w:spacing w:line="480" w:lineRule="exact"/>
        <w:ind w:firstLine="560"/>
        <w:textAlignment w:val="auto"/>
        <w:rPr>
          <w:color w:val="auto"/>
          <w:sz w:val="32"/>
        </w:rPr>
      </w:pPr>
      <w:r>
        <w:rPr>
          <w:rFonts w:hint="eastAsia"/>
          <w:color w:val="auto"/>
        </w:rPr>
        <w:t>拒不服从学校校纪校规和学院各项管理规定或有其他有损学校、学院声誉的行为</w:t>
      </w:r>
      <w:r>
        <w:rPr>
          <w:rFonts w:hint="eastAsia"/>
          <w:color w:val="auto"/>
          <w:spacing w:val="-2"/>
          <w:sz w:val="32"/>
        </w:rPr>
        <w:t>。</w:t>
      </w:r>
    </w:p>
    <w:p w14:paraId="444BE376">
      <w:pPr>
        <w:keepNext w:val="0"/>
        <w:keepLines w:val="0"/>
        <w:pageBreakBefore w:val="0"/>
        <w:widowControl w:val="0"/>
        <w:kinsoku/>
        <w:overflowPunct/>
        <w:topLinePunct w:val="0"/>
        <w:bidi w:val="0"/>
        <w:snapToGrid/>
        <w:spacing w:line="480" w:lineRule="exact"/>
        <w:textAlignment w:val="auto"/>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（五）评审标准</w:t>
      </w:r>
    </w:p>
    <w:p w14:paraId="2E61FB36">
      <w:pPr>
        <w:pStyle w:val="4"/>
        <w:keepNext w:val="0"/>
        <w:keepLines w:val="0"/>
        <w:pageBreakBefore w:val="0"/>
        <w:widowControl w:val="0"/>
        <w:numPr>
          <w:ilvl w:val="0"/>
          <w:numId w:val="4"/>
        </w:numPr>
        <w:kinsoku/>
        <w:overflowPunct/>
        <w:topLinePunct w:val="0"/>
        <w:bidi w:val="0"/>
        <w:snapToGrid/>
        <w:spacing w:line="480" w:lineRule="exact"/>
        <w:ind w:firstLine="560"/>
        <w:textAlignment w:val="auto"/>
        <w:rPr>
          <w:color w:val="auto"/>
          <w:spacing w:val="-2"/>
          <w:sz w:val="32"/>
        </w:rPr>
      </w:pPr>
      <w:r>
        <w:rPr>
          <w:rFonts w:hint="eastAsia" w:cs="宋体"/>
          <w:color w:val="auto"/>
          <w:szCs w:val="28"/>
        </w:rPr>
        <w:t>本学年综合测评思想道德素质评分</w:t>
      </w:r>
      <w:r>
        <w:rPr>
          <w:rFonts w:hint="eastAsia" w:cs="宋体"/>
          <w:color w:val="auto"/>
          <w:szCs w:val="28"/>
          <w:lang w:val="en-US" w:eastAsia="zh-CN"/>
        </w:rPr>
        <w:t>80分以上</w:t>
      </w:r>
      <w:r>
        <w:rPr>
          <w:rFonts w:hint="eastAsia" w:cs="宋体"/>
          <w:color w:val="auto"/>
          <w:szCs w:val="28"/>
        </w:rPr>
        <w:t>；</w:t>
      </w:r>
    </w:p>
    <w:p w14:paraId="7FEF1C2F">
      <w:pPr>
        <w:pStyle w:val="4"/>
        <w:keepNext w:val="0"/>
        <w:keepLines w:val="0"/>
        <w:pageBreakBefore w:val="0"/>
        <w:widowControl w:val="0"/>
        <w:numPr>
          <w:ilvl w:val="0"/>
          <w:numId w:val="4"/>
        </w:numPr>
        <w:kinsoku/>
        <w:overflowPunct/>
        <w:topLinePunct w:val="0"/>
        <w:bidi w:val="0"/>
        <w:snapToGrid/>
        <w:spacing w:line="480" w:lineRule="exact"/>
        <w:ind w:firstLine="560"/>
        <w:textAlignment w:val="auto"/>
        <w:rPr>
          <w:rFonts w:cs="宋体"/>
          <w:color w:val="auto"/>
          <w:szCs w:val="28"/>
        </w:rPr>
      </w:pPr>
      <w:r>
        <w:rPr>
          <w:rFonts w:hint="eastAsia" w:cs="宋体"/>
          <w:color w:val="auto"/>
          <w:szCs w:val="28"/>
        </w:rPr>
        <w:t>课程成绩的基本要求：本学年度学位课课程平均成绩80分以上、所有课程单科成绩不低于75分。课程平均成绩计算办法为：∑（本学年度所修学位课课程考核成绩×课程学分）/∑课程学分。</w:t>
      </w:r>
    </w:p>
    <w:p w14:paraId="1319218D">
      <w:pPr>
        <w:pStyle w:val="4"/>
        <w:keepNext w:val="0"/>
        <w:keepLines w:val="0"/>
        <w:pageBreakBefore w:val="0"/>
        <w:widowControl w:val="0"/>
        <w:numPr>
          <w:ilvl w:val="0"/>
          <w:numId w:val="4"/>
        </w:numPr>
        <w:kinsoku/>
        <w:overflowPunct/>
        <w:topLinePunct w:val="0"/>
        <w:bidi w:val="0"/>
        <w:snapToGrid/>
        <w:spacing w:line="480" w:lineRule="exact"/>
        <w:ind w:firstLine="552"/>
        <w:textAlignment w:val="auto"/>
        <w:rPr>
          <w:color w:val="auto"/>
          <w:spacing w:val="-2"/>
          <w:sz w:val="32"/>
        </w:rPr>
      </w:pPr>
      <w:r>
        <w:rPr>
          <w:rFonts w:hint="eastAsia" w:cs="宋体"/>
          <w:color w:val="auto"/>
          <w:spacing w:val="-2"/>
          <w:szCs w:val="28"/>
        </w:rPr>
        <w:t>硕士研究生参评成果获得时间须为</w:t>
      </w:r>
      <w:r>
        <w:rPr>
          <w:color w:val="auto"/>
        </w:rPr>
        <w:t>前一学年9月1日至本学年度8月31日</w:t>
      </w:r>
      <w:r>
        <w:rPr>
          <w:rFonts w:hint="eastAsia" w:cs="宋体"/>
          <w:color w:val="auto"/>
          <w:spacing w:val="-2"/>
          <w:szCs w:val="28"/>
        </w:rPr>
        <w:t>。以奖项证书、论文见刊、专利授权时间为准（具体加分规定见</w:t>
      </w:r>
      <w:r>
        <w:rPr>
          <w:rFonts w:hint="eastAsia" w:cs="宋体"/>
          <w:color w:val="auto"/>
          <w:spacing w:val="-2"/>
          <w:szCs w:val="28"/>
          <w:lang w:val="en-US" w:eastAsia="zh-CN"/>
        </w:rPr>
        <w:t>硕士研究生</w:t>
      </w:r>
      <w:r>
        <w:rPr>
          <w:rFonts w:hint="eastAsia" w:cs="宋体"/>
          <w:color w:val="auto"/>
          <w:spacing w:val="-2"/>
          <w:szCs w:val="28"/>
        </w:rPr>
        <w:t>国家奖学金综合素质测评表细则）。论文署名要求：申请研究生国家奖学金的研究生本人为第一作者或指导教师为第一作者、研究生本人为第二作者，公开发表第一署名单位为武汉理工大学。专利署名单位须为武汉理工大学。</w:t>
      </w:r>
    </w:p>
    <w:p w14:paraId="4628D60B">
      <w:pPr>
        <w:keepNext w:val="0"/>
        <w:keepLines w:val="0"/>
        <w:pageBreakBefore w:val="0"/>
        <w:widowControl w:val="0"/>
        <w:kinsoku/>
        <w:overflowPunct/>
        <w:topLinePunct w:val="0"/>
        <w:bidi w:val="0"/>
        <w:snapToGrid/>
        <w:spacing w:line="480" w:lineRule="exact"/>
        <w:textAlignment w:val="auto"/>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（六）硕士研究生国家奖学金综合测评总分加权量化公式</w:t>
      </w:r>
    </w:p>
    <w:p w14:paraId="27A84A33">
      <w:pPr>
        <w:pStyle w:val="11"/>
        <w:keepNext w:val="0"/>
        <w:keepLines w:val="0"/>
        <w:pageBreakBefore w:val="0"/>
        <w:widowControl w:val="0"/>
        <w:numPr>
          <w:numId w:val="0"/>
        </w:numPr>
        <w:tabs>
          <w:tab w:val="left" w:pos="1221"/>
        </w:tabs>
        <w:kinsoku/>
        <w:wordWrap/>
        <w:overflowPunct/>
        <w:topLinePunct w:val="0"/>
        <w:autoSpaceDE/>
        <w:autoSpaceDN/>
        <w:bidi w:val="0"/>
        <w:adjustRightInd/>
        <w:snapToGrid/>
        <w:spacing w:line="480" w:lineRule="exact"/>
        <w:ind w:leftChars="0" w:firstLine="552" w:firstLineChars="20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硕士研究生国家奖学金综合测评总分计算公式：</w:t>
      </w:r>
      <w:r>
        <w:rPr>
          <w:rFonts w:hint="eastAsia" w:ascii="宋体" w:hAnsi="宋体" w:eastAsia="宋体" w:cs="宋体"/>
          <w:color w:val="auto"/>
          <w:spacing w:val="-2"/>
          <w:sz w:val="28"/>
          <w:szCs w:val="28"/>
          <w:lang w:val="en-US" w:eastAsia="zh-CN"/>
        </w:rPr>
        <w:t>研究生阶段</w:t>
      </w:r>
      <w:r>
        <w:rPr>
          <w:rFonts w:hint="eastAsia" w:ascii="宋体" w:hAnsi="宋体" w:eastAsia="宋体" w:cs="宋体"/>
          <w:color w:val="auto"/>
          <w:spacing w:val="-2"/>
          <w:sz w:val="28"/>
          <w:szCs w:val="28"/>
        </w:rPr>
        <w:t>学位课课程平均成绩*</w:t>
      </w:r>
      <w:r>
        <w:rPr>
          <w:rFonts w:hint="eastAsia" w:ascii="宋体" w:hAnsi="宋体" w:eastAsia="宋体" w:cs="宋体"/>
          <w:color w:val="auto"/>
          <w:spacing w:val="-2"/>
          <w:sz w:val="28"/>
          <w:szCs w:val="28"/>
          <w:lang w:val="en-US" w:eastAsia="zh-CN"/>
        </w:rPr>
        <w:t>2</w:t>
      </w:r>
      <w:r>
        <w:rPr>
          <w:rFonts w:hint="eastAsia" w:ascii="宋体" w:hAnsi="宋体" w:eastAsia="宋体" w:cs="宋体"/>
          <w:color w:val="auto"/>
          <w:spacing w:val="-2"/>
          <w:sz w:val="28"/>
          <w:szCs w:val="28"/>
        </w:rPr>
        <w:t>0%+科研</w:t>
      </w:r>
      <w:r>
        <w:rPr>
          <w:rFonts w:hint="eastAsia" w:ascii="宋体" w:hAnsi="宋体" w:eastAsia="宋体" w:cs="宋体"/>
          <w:color w:val="auto"/>
          <w:spacing w:val="-2"/>
          <w:sz w:val="28"/>
          <w:szCs w:val="28"/>
          <w:lang w:val="en-US" w:eastAsia="zh-CN"/>
        </w:rPr>
        <w:t>成绩</w:t>
      </w: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8</w:t>
      </w:r>
      <w:r>
        <w:rPr>
          <w:rFonts w:hint="eastAsia" w:ascii="宋体" w:hAnsi="宋体" w:eastAsia="宋体" w:cs="宋体"/>
          <w:color w:val="auto"/>
          <w:spacing w:val="-2"/>
          <w:sz w:val="28"/>
          <w:szCs w:val="28"/>
        </w:rPr>
        <w:t>0%；</w:t>
      </w:r>
    </w:p>
    <w:p w14:paraId="12A057DC">
      <w:pPr>
        <w:keepNext w:val="0"/>
        <w:keepLines w:val="0"/>
        <w:pageBreakBefore w:val="0"/>
        <w:widowControl w:val="0"/>
        <w:kinsoku/>
        <w:overflowPunct/>
        <w:topLinePunct w:val="0"/>
        <w:bidi w:val="0"/>
        <w:snapToGrid/>
        <w:spacing w:line="480" w:lineRule="exact"/>
        <w:textAlignment w:val="auto"/>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（七）评定程序</w:t>
      </w:r>
    </w:p>
    <w:p w14:paraId="2C575263">
      <w:pPr>
        <w:pStyle w:val="11"/>
        <w:keepNext w:val="0"/>
        <w:keepLines w:val="0"/>
        <w:pageBreakBefore w:val="0"/>
        <w:widowControl w:val="0"/>
        <w:numPr>
          <w:ilvl w:val="0"/>
          <w:numId w:val="5"/>
        </w:numPr>
        <w:tabs>
          <w:tab w:val="left" w:pos="1221"/>
        </w:tabs>
        <w:kinsoku/>
        <w:overflowPunct/>
        <w:topLinePunct w:val="0"/>
        <w:bidi w:val="0"/>
        <w:snapToGrid/>
        <w:spacing w:line="480" w:lineRule="exact"/>
        <w:ind w:firstLine="552" w:firstLineChars="20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个人申请并公示材料。研究生本人申请并提</w:t>
      </w:r>
      <w:bookmarkStart w:id="0" w:name="_GoBack"/>
      <w:bookmarkEnd w:id="0"/>
      <w:r>
        <w:rPr>
          <w:rFonts w:hint="eastAsia" w:ascii="宋体" w:hAnsi="宋体" w:eastAsia="宋体" w:cs="宋体"/>
          <w:color w:val="auto"/>
          <w:spacing w:val="-2"/>
          <w:sz w:val="28"/>
          <w:szCs w:val="28"/>
        </w:rPr>
        <w:t>交《研究生国家奖学金申请审批表》，连同科研成果及相关证明原件一并提交至学院评审委员会，申请材料一旦上交后不得修改、补充。所有申请人材料经学院审核后公示，公示结束后提交学院评审委员会进行最终评审。</w:t>
      </w:r>
    </w:p>
    <w:p w14:paraId="2D007409">
      <w:pPr>
        <w:pStyle w:val="11"/>
        <w:keepNext w:val="0"/>
        <w:keepLines w:val="0"/>
        <w:pageBreakBefore w:val="0"/>
        <w:widowControl w:val="0"/>
        <w:numPr>
          <w:ilvl w:val="0"/>
          <w:numId w:val="5"/>
        </w:numPr>
        <w:tabs>
          <w:tab w:val="left" w:pos="1221"/>
        </w:tabs>
        <w:kinsoku/>
        <w:overflowPunct/>
        <w:topLinePunct w:val="0"/>
        <w:bidi w:val="0"/>
        <w:snapToGrid/>
        <w:spacing w:line="480" w:lineRule="exact"/>
        <w:ind w:firstLine="552" w:firstLineChars="20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学院评审并公示拟获奖名单。根据硕士研究生国家奖学金综合测评总分排名按1:1.2比例入围候选人，由学院评审委员会主任委员负责组织委员会成员对入围候选人的硕士研究生国家奖学金申报材料进行评审，确定拟获奖名单，并进行不少于5个工作日的公示。对评选结果有异议的可在学院公示阶段向学院评审委员会提出申诉，评审委员会应及时研究并予以答复。如学生对本单位</w:t>
      </w:r>
      <w:r>
        <w:rPr>
          <w:rFonts w:hint="eastAsia" w:ascii="宋体" w:hAnsi="宋体" w:eastAsia="宋体" w:cs="宋体"/>
          <w:color w:val="auto"/>
          <w:spacing w:val="-2"/>
          <w:sz w:val="28"/>
          <w:szCs w:val="28"/>
          <w:lang w:val="en-US" w:eastAsia="zh-CN"/>
        </w:rPr>
        <w:t>作出</w:t>
      </w:r>
      <w:r>
        <w:rPr>
          <w:rFonts w:hint="eastAsia" w:ascii="宋体" w:hAnsi="宋体" w:eastAsia="宋体" w:cs="宋体"/>
          <w:color w:val="auto"/>
          <w:spacing w:val="-2"/>
          <w:sz w:val="28"/>
          <w:szCs w:val="28"/>
        </w:rPr>
        <w:t>的答复仍存在异议，可在学校公示阶段向学校研究生国家奖学金评审领导小组提请裁决。</w:t>
      </w:r>
    </w:p>
    <w:p w14:paraId="05704F78">
      <w:pPr>
        <w:pStyle w:val="11"/>
        <w:keepNext w:val="0"/>
        <w:keepLines w:val="0"/>
        <w:pageBreakBefore w:val="0"/>
        <w:widowControl w:val="0"/>
        <w:numPr>
          <w:ilvl w:val="0"/>
          <w:numId w:val="5"/>
        </w:numPr>
        <w:tabs>
          <w:tab w:val="left" w:pos="1221"/>
        </w:tabs>
        <w:kinsoku/>
        <w:overflowPunct/>
        <w:topLinePunct w:val="0"/>
        <w:bidi w:val="0"/>
        <w:snapToGrid/>
        <w:spacing w:line="480" w:lineRule="exact"/>
        <w:ind w:firstLine="552" w:firstLineChars="20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评审委员有下列情形之一，则应回避：与参评对象存在亲属关系或有其他可能影响评审公正的情形；本人作为候选人参评。</w:t>
      </w:r>
    </w:p>
    <w:p w14:paraId="40A56C09">
      <w:pPr>
        <w:pStyle w:val="11"/>
        <w:keepNext w:val="0"/>
        <w:keepLines w:val="0"/>
        <w:pageBreakBefore w:val="0"/>
        <w:widowControl w:val="0"/>
        <w:numPr>
          <w:ilvl w:val="0"/>
          <w:numId w:val="5"/>
        </w:numPr>
        <w:tabs>
          <w:tab w:val="left" w:pos="1221"/>
        </w:tabs>
        <w:kinsoku/>
        <w:overflowPunct/>
        <w:topLinePunct w:val="0"/>
        <w:bidi w:val="0"/>
        <w:snapToGrid/>
        <w:spacing w:line="480" w:lineRule="exact"/>
        <w:ind w:firstLine="552" w:firstLineChars="20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学校评审并公示获奖名单。学院公示无异议后，将拟获奖名单提交校党委研究生工作部党委研究生工作部。校党委研究生工作部审核后，提交学校学生奖助学金评审领导小组审定最终获奖名单，获奖名单在学校范围内进行不少于5个工作日的公示，公示无异议后上报教育部。</w:t>
      </w:r>
    </w:p>
    <w:p w14:paraId="38AD6812">
      <w:pPr>
        <w:keepNext w:val="0"/>
        <w:keepLines w:val="0"/>
        <w:pageBreakBefore w:val="0"/>
        <w:widowControl w:val="0"/>
        <w:numPr>
          <w:ilvl w:val="0"/>
          <w:numId w:val="6"/>
        </w:numPr>
        <w:kinsoku/>
        <w:overflowPunct/>
        <w:topLinePunct w:val="0"/>
        <w:bidi w:val="0"/>
        <w:snapToGrid/>
        <w:spacing w:line="480" w:lineRule="exact"/>
        <w:textAlignment w:val="auto"/>
        <w:rPr>
          <w:rFonts w:hint="eastAsia" w:ascii="宋体" w:hAnsi="宋体" w:eastAsia="宋体" w:cs="宋体"/>
          <w:b/>
          <w:bCs/>
          <w:color w:val="auto"/>
          <w:spacing w:val="-2"/>
          <w:sz w:val="28"/>
          <w:szCs w:val="28"/>
        </w:rPr>
      </w:pPr>
      <w:r>
        <w:rPr>
          <w:rFonts w:hint="eastAsia" w:ascii="宋体" w:hAnsi="宋体" w:eastAsia="宋体" w:cs="宋体"/>
          <w:b/>
          <w:bCs/>
          <w:color w:val="auto"/>
          <w:spacing w:val="-2"/>
          <w:sz w:val="28"/>
          <w:szCs w:val="28"/>
        </w:rPr>
        <w:t>研究生国家奖学金</w:t>
      </w:r>
      <w:r>
        <w:rPr>
          <w:rFonts w:hint="eastAsia" w:ascii="宋体" w:hAnsi="宋体" w:eastAsia="宋体" w:cs="宋体"/>
          <w:b/>
          <w:bCs/>
          <w:color w:val="auto"/>
          <w:spacing w:val="-2"/>
          <w:sz w:val="28"/>
          <w:szCs w:val="28"/>
          <w:lang w:val="en-US" w:eastAsia="zh-CN"/>
        </w:rPr>
        <w:t>入围</w:t>
      </w:r>
      <w:r>
        <w:rPr>
          <w:rFonts w:hint="eastAsia" w:ascii="宋体" w:hAnsi="宋体" w:eastAsia="宋体" w:cs="宋体"/>
          <w:b/>
          <w:bCs/>
          <w:color w:val="auto"/>
          <w:spacing w:val="-2"/>
          <w:sz w:val="28"/>
          <w:szCs w:val="28"/>
        </w:rPr>
        <w:t>原则</w:t>
      </w:r>
    </w:p>
    <w:p w14:paraId="023986FA">
      <w:pPr>
        <w:pStyle w:val="11"/>
        <w:keepNext w:val="0"/>
        <w:keepLines w:val="0"/>
        <w:pageBreakBefore w:val="0"/>
        <w:widowControl w:val="0"/>
        <w:numPr>
          <w:ilvl w:val="-1"/>
          <w:numId w:val="0"/>
        </w:numPr>
        <w:tabs>
          <w:tab w:val="left" w:pos="1221"/>
        </w:tabs>
        <w:kinsoku/>
        <w:overflowPunct/>
        <w:topLinePunct w:val="0"/>
        <w:bidi w:val="0"/>
        <w:snapToGrid/>
        <w:spacing w:line="480" w:lineRule="exact"/>
        <w:ind w:left="0" w:firstLine="552" w:firstLineChars="200"/>
        <w:textAlignment w:val="auto"/>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1. 总分优先。评定总分以各项科研成果评分之和确定，总分较高者优先。</w:t>
      </w:r>
    </w:p>
    <w:p w14:paraId="73FBC88F">
      <w:pPr>
        <w:pStyle w:val="11"/>
        <w:keepNext w:val="0"/>
        <w:keepLines w:val="0"/>
        <w:pageBreakBefore w:val="0"/>
        <w:widowControl w:val="0"/>
        <w:numPr>
          <w:ilvl w:val="-1"/>
          <w:numId w:val="0"/>
        </w:numPr>
        <w:tabs>
          <w:tab w:val="left" w:pos="1221"/>
        </w:tabs>
        <w:kinsoku/>
        <w:overflowPunct/>
        <w:topLinePunct w:val="0"/>
        <w:bidi w:val="0"/>
        <w:snapToGrid/>
        <w:spacing w:line="480" w:lineRule="exact"/>
        <w:ind w:left="0" w:firstLine="552" w:firstLineChars="200"/>
        <w:textAlignment w:val="auto"/>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2. 总分相同时，以科研成果质量优先。具体排序为：国际学术奖励和国家级科研成果获奖优先于1篇JCR一区论文；1篇JCR一区论文优先于2篇JCR二区论文；省部级科研成果获奖优先于1篇JCR二区论文；JCR二区论文优先于</w:t>
      </w:r>
      <w:r>
        <w:rPr>
          <w:rFonts w:hint="eastAsia" w:ascii="宋体" w:hAnsi="宋体" w:eastAsia="宋体" w:cs="宋体"/>
          <w:color w:val="auto"/>
          <w:spacing w:val="-2"/>
          <w:sz w:val="28"/>
          <w:szCs w:val="28"/>
          <w:lang w:val="en-US" w:eastAsia="zh-CN"/>
        </w:rPr>
        <w:t>竞赛</w:t>
      </w:r>
      <w:r>
        <w:rPr>
          <w:rFonts w:hint="eastAsia" w:ascii="宋体" w:hAnsi="宋体" w:eastAsia="宋体" w:cs="宋体"/>
          <w:color w:val="auto"/>
          <w:spacing w:val="-2"/>
          <w:sz w:val="28"/>
          <w:szCs w:val="28"/>
        </w:rPr>
        <w:t>国家特等奖；</w:t>
      </w:r>
      <w:r>
        <w:rPr>
          <w:rFonts w:hint="eastAsia" w:ascii="宋体" w:hAnsi="宋体" w:eastAsia="宋体" w:cs="宋体"/>
          <w:color w:val="auto"/>
          <w:spacing w:val="-2"/>
          <w:sz w:val="28"/>
          <w:szCs w:val="28"/>
          <w:lang w:val="en-US" w:eastAsia="zh-CN"/>
        </w:rPr>
        <w:t>竞赛</w:t>
      </w:r>
      <w:r>
        <w:rPr>
          <w:rFonts w:hint="eastAsia" w:ascii="宋体" w:hAnsi="宋体" w:eastAsia="宋体" w:cs="宋体"/>
          <w:color w:val="auto"/>
          <w:spacing w:val="-2"/>
          <w:sz w:val="28"/>
          <w:szCs w:val="28"/>
        </w:rPr>
        <w:t>国家特等奖优先于有效授权发明专利。</w:t>
      </w:r>
    </w:p>
    <w:p w14:paraId="1D4A0872">
      <w:pPr>
        <w:pStyle w:val="11"/>
        <w:keepNext w:val="0"/>
        <w:keepLines w:val="0"/>
        <w:pageBreakBefore w:val="0"/>
        <w:widowControl w:val="0"/>
        <w:numPr>
          <w:ilvl w:val="-1"/>
          <w:numId w:val="0"/>
        </w:numPr>
        <w:tabs>
          <w:tab w:val="left" w:pos="1221"/>
        </w:tabs>
        <w:kinsoku/>
        <w:overflowPunct/>
        <w:topLinePunct w:val="0"/>
        <w:bidi w:val="0"/>
        <w:snapToGrid/>
        <w:spacing w:line="480" w:lineRule="exact"/>
        <w:ind w:left="0" w:firstLine="552" w:firstLineChars="200"/>
        <w:textAlignment w:val="auto"/>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3. 总分相同且科研成果质量相同时，发明专利数量较多者优先。</w:t>
      </w:r>
    </w:p>
    <w:p w14:paraId="3C32B696">
      <w:pPr>
        <w:pStyle w:val="11"/>
        <w:keepNext w:val="0"/>
        <w:keepLines w:val="0"/>
        <w:pageBreakBefore w:val="0"/>
        <w:widowControl w:val="0"/>
        <w:numPr>
          <w:ilvl w:val="-1"/>
          <w:numId w:val="0"/>
        </w:numPr>
        <w:tabs>
          <w:tab w:val="left" w:pos="1221"/>
        </w:tabs>
        <w:kinsoku/>
        <w:overflowPunct/>
        <w:topLinePunct w:val="0"/>
        <w:bidi w:val="0"/>
        <w:snapToGrid/>
        <w:spacing w:line="480" w:lineRule="exact"/>
        <w:ind w:left="0" w:firstLine="552" w:firstLineChars="200"/>
        <w:textAlignment w:val="auto"/>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4. 当总分、科研成果质量和发明专利数量均相同时，须提交其他成果支撑材料，并依据其他材料质量排序。</w:t>
      </w:r>
    </w:p>
    <w:p w14:paraId="03B07453">
      <w:pPr>
        <w:pStyle w:val="11"/>
        <w:keepNext w:val="0"/>
        <w:keepLines w:val="0"/>
        <w:pageBreakBefore w:val="0"/>
        <w:widowControl w:val="0"/>
        <w:numPr>
          <w:ilvl w:val="-1"/>
          <w:numId w:val="0"/>
        </w:numPr>
        <w:tabs>
          <w:tab w:val="left" w:pos="1221"/>
        </w:tabs>
        <w:kinsoku/>
        <w:overflowPunct/>
        <w:topLinePunct w:val="0"/>
        <w:bidi w:val="0"/>
        <w:snapToGrid/>
        <w:spacing w:line="480" w:lineRule="exact"/>
        <w:ind w:left="0" w:leftChars="0" w:firstLine="552" w:firstLineChars="200"/>
        <w:textAlignment w:val="auto"/>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5. 若总分、科研成果质量、发明专利数量均相同，且无其他成果时，由评审委员会组织投票确定</w:t>
      </w:r>
      <w:r>
        <w:rPr>
          <w:rFonts w:hint="eastAsia" w:ascii="宋体" w:hAnsi="宋体" w:eastAsia="宋体" w:cs="宋体"/>
          <w:color w:val="auto"/>
          <w:spacing w:val="-2"/>
          <w:sz w:val="28"/>
          <w:szCs w:val="28"/>
          <w:lang w:val="en-US" w:eastAsia="zh-CN"/>
        </w:rPr>
        <w:t>入围</w:t>
      </w:r>
      <w:r>
        <w:rPr>
          <w:rFonts w:hint="eastAsia" w:ascii="宋体" w:hAnsi="宋体" w:eastAsia="宋体" w:cs="宋体"/>
          <w:color w:val="auto"/>
          <w:spacing w:val="-2"/>
          <w:sz w:val="28"/>
          <w:szCs w:val="28"/>
        </w:rPr>
        <w:t>人选。</w:t>
      </w:r>
    </w:p>
    <w:p w14:paraId="252E6D03">
      <w:pPr>
        <w:keepNext w:val="0"/>
        <w:keepLines w:val="0"/>
        <w:pageBreakBefore w:val="0"/>
        <w:widowControl w:val="0"/>
        <w:kinsoku/>
        <w:overflowPunct/>
        <w:topLinePunct w:val="0"/>
        <w:bidi w:val="0"/>
        <w:snapToGrid/>
        <w:spacing w:line="480" w:lineRule="exact"/>
        <w:textAlignment w:val="auto"/>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w:t>
      </w:r>
      <w:r>
        <w:rPr>
          <w:rFonts w:hint="eastAsia" w:ascii="宋体" w:hAnsi="宋体" w:eastAsia="宋体" w:cs="宋体"/>
          <w:b/>
          <w:bCs/>
          <w:color w:val="auto"/>
          <w:spacing w:val="-2"/>
          <w:sz w:val="28"/>
          <w:szCs w:val="28"/>
          <w:lang w:val="en-US" w:eastAsia="zh-CN"/>
        </w:rPr>
        <w:t>九</w:t>
      </w:r>
      <w:r>
        <w:rPr>
          <w:rFonts w:hint="eastAsia" w:ascii="宋体" w:hAnsi="宋体" w:eastAsia="宋体" w:cs="宋体"/>
          <w:b/>
          <w:bCs/>
          <w:color w:val="auto"/>
          <w:spacing w:val="-2"/>
          <w:sz w:val="28"/>
          <w:szCs w:val="28"/>
        </w:rPr>
        <w:t>）异议处理</w:t>
      </w:r>
    </w:p>
    <w:p w14:paraId="0118DA78">
      <w:pPr>
        <w:pStyle w:val="14"/>
        <w:keepNext w:val="0"/>
        <w:keepLines w:val="0"/>
        <w:pageBreakBefore w:val="0"/>
        <w:widowControl w:val="0"/>
        <w:kinsoku/>
        <w:overflowPunct/>
        <w:topLinePunct w:val="0"/>
        <w:bidi w:val="0"/>
        <w:snapToGrid/>
        <w:spacing w:line="480" w:lineRule="exact"/>
        <w:ind w:firstLine="552"/>
        <w:textAlignment w:val="auto"/>
        <w:rPr>
          <w:color w:val="auto"/>
        </w:rPr>
      </w:pPr>
      <w:r>
        <w:rPr>
          <w:color w:val="auto"/>
        </w:rPr>
        <w:t>对研究生国家奖学金评审结果有异议的研究生，可在学院（学部）公示阶段向所在单位评审委员会提出申诉，评审委员会及时研究并予以答复。如学生对学院</w:t>
      </w:r>
      <w:r>
        <w:rPr>
          <w:rFonts w:hint="eastAsia"/>
          <w:color w:val="auto"/>
        </w:rPr>
        <w:t>做出</w:t>
      </w:r>
      <w:r>
        <w:rPr>
          <w:color w:val="auto"/>
        </w:rPr>
        <w:t>的答复仍存在异议，可在学校公示阶段向学校学生奖助学金评审领导小组提请裁决。</w:t>
      </w:r>
    </w:p>
    <w:p w14:paraId="3181E0EC">
      <w:pPr>
        <w:pStyle w:val="2"/>
        <w:keepNext w:val="0"/>
        <w:keepLines w:val="0"/>
        <w:pageBreakBefore w:val="0"/>
        <w:widowControl w:val="0"/>
        <w:kinsoku/>
        <w:overflowPunct/>
        <w:topLinePunct w:val="0"/>
        <w:bidi w:val="0"/>
        <w:snapToGrid/>
        <w:spacing w:before="33" w:line="480" w:lineRule="exact"/>
        <w:ind w:left="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lang w:val="en-US" w:eastAsia="zh-CN"/>
        </w:rPr>
        <w:t>十</w:t>
      </w:r>
      <w:r>
        <w:rPr>
          <w:rFonts w:hint="eastAsia" w:ascii="宋体" w:hAnsi="宋体" w:eastAsia="宋体" w:cs="宋体"/>
          <w:color w:val="auto"/>
          <w:spacing w:val="-2"/>
          <w:sz w:val="28"/>
          <w:szCs w:val="28"/>
        </w:rPr>
        <w:t>）发放及管理</w:t>
      </w:r>
    </w:p>
    <w:p w14:paraId="5E9E8178">
      <w:pPr>
        <w:pStyle w:val="11"/>
        <w:keepNext w:val="0"/>
        <w:keepLines w:val="0"/>
        <w:pageBreakBefore w:val="0"/>
        <w:widowControl w:val="0"/>
        <w:numPr>
          <w:ilvl w:val="0"/>
          <w:numId w:val="7"/>
        </w:numPr>
        <w:tabs>
          <w:tab w:val="left" w:pos="1221"/>
        </w:tabs>
        <w:kinsoku/>
        <w:overflowPunct/>
        <w:topLinePunct w:val="0"/>
        <w:bidi w:val="0"/>
        <w:snapToGrid/>
        <w:spacing w:line="480" w:lineRule="exact"/>
        <w:ind w:firstLine="552" w:firstLineChars="20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学校给获得国家奖学金的研究生颁发国家统一印制的奖励证书，并将获奖情况记入研究生学籍档案。</w:t>
      </w:r>
    </w:p>
    <w:p w14:paraId="01D9C5BB">
      <w:pPr>
        <w:pStyle w:val="11"/>
        <w:keepNext w:val="0"/>
        <w:keepLines w:val="0"/>
        <w:pageBreakBefore w:val="0"/>
        <w:widowControl w:val="0"/>
        <w:numPr>
          <w:ilvl w:val="0"/>
          <w:numId w:val="7"/>
        </w:numPr>
        <w:tabs>
          <w:tab w:val="left" w:pos="1221"/>
        </w:tabs>
        <w:kinsoku/>
        <w:overflowPunct/>
        <w:topLinePunct w:val="0"/>
        <w:bidi w:val="0"/>
        <w:snapToGrid/>
        <w:spacing w:line="480" w:lineRule="exact"/>
        <w:ind w:firstLine="552" w:firstLineChars="20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中央主管部门的资金到位后，国家奖学金由学校财务处一次性打入研究生校园卡对应的银行卡账户。</w:t>
      </w:r>
    </w:p>
    <w:p w14:paraId="1A834CBC">
      <w:pPr>
        <w:pStyle w:val="11"/>
        <w:keepNext w:val="0"/>
        <w:keepLines w:val="0"/>
        <w:pageBreakBefore w:val="0"/>
        <w:widowControl w:val="0"/>
        <w:numPr>
          <w:ilvl w:val="0"/>
          <w:numId w:val="7"/>
        </w:numPr>
        <w:tabs>
          <w:tab w:val="left" w:pos="1221"/>
        </w:tabs>
        <w:kinsoku/>
        <w:overflowPunct/>
        <w:topLinePunct w:val="0"/>
        <w:bidi w:val="0"/>
        <w:snapToGrid/>
        <w:spacing w:line="480" w:lineRule="exact"/>
        <w:ind w:firstLine="552" w:firstLineChars="200"/>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如发现获得国家奖学金的研究生</w:t>
      </w:r>
      <w:r>
        <w:rPr>
          <w:rFonts w:hint="eastAsia" w:ascii="宋体" w:hAnsi="宋体" w:eastAsia="宋体" w:cs="宋体"/>
          <w:color w:val="auto"/>
          <w:spacing w:val="-2"/>
          <w:sz w:val="28"/>
          <w:szCs w:val="28"/>
          <w:lang w:val="en-US" w:eastAsia="zh-CN"/>
        </w:rPr>
        <w:t>在</w:t>
      </w:r>
      <w:r>
        <w:rPr>
          <w:rFonts w:hint="eastAsia" w:ascii="宋体" w:hAnsi="宋体" w:eastAsia="宋体" w:cs="宋体"/>
          <w:color w:val="auto"/>
          <w:spacing w:val="-2"/>
          <w:sz w:val="28"/>
          <w:szCs w:val="28"/>
        </w:rPr>
        <w:t>评审过程中有弄虚作假的行为，一经核实，取消其国家奖学金获奖资格，收回已颁发的奖励证书和奖学金，并按学校有关规定给予纪律处分。</w:t>
      </w:r>
    </w:p>
    <w:p w14:paraId="3A238BCF">
      <w:pPr>
        <w:pStyle w:val="4"/>
        <w:keepNext w:val="0"/>
        <w:keepLines w:val="0"/>
        <w:pageBreakBefore w:val="0"/>
        <w:widowControl w:val="0"/>
        <w:kinsoku/>
        <w:overflowPunct/>
        <w:topLinePunct w:val="0"/>
        <w:bidi w:val="0"/>
        <w:snapToGrid/>
        <w:spacing w:before="157" w:line="480" w:lineRule="exact"/>
        <w:ind w:firstLine="0" w:firstLineChars="0"/>
        <w:textAlignment w:val="auto"/>
        <w:rPr>
          <w:rFonts w:ascii="黑体" w:eastAsia="黑体"/>
          <w:color w:val="auto"/>
          <w:spacing w:val="-5"/>
        </w:rPr>
      </w:pPr>
      <w:r>
        <w:rPr>
          <w:rFonts w:hint="eastAsia" w:ascii="黑体" w:eastAsia="黑体"/>
          <w:color w:val="auto"/>
          <w:spacing w:val="-5"/>
        </w:rPr>
        <w:t>三、附则</w:t>
      </w:r>
    </w:p>
    <w:p w14:paraId="00B767EF">
      <w:pPr>
        <w:keepNext w:val="0"/>
        <w:keepLines w:val="0"/>
        <w:pageBreakBefore w:val="0"/>
        <w:widowControl w:val="0"/>
        <w:numPr>
          <w:ilvl w:val="0"/>
          <w:numId w:val="8"/>
        </w:numPr>
        <w:kinsoku/>
        <w:overflowPunct/>
        <w:topLinePunct w:val="0"/>
        <w:bidi w:val="0"/>
        <w:snapToGrid/>
        <w:spacing w:line="48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本细则由学院研究生奖学金评审委员会解释。</w:t>
      </w:r>
    </w:p>
    <w:p w14:paraId="171AE63D">
      <w:pPr>
        <w:keepNext w:val="0"/>
        <w:keepLines w:val="0"/>
        <w:pageBreakBefore w:val="0"/>
        <w:widowControl w:val="0"/>
        <w:numPr>
          <w:ilvl w:val="0"/>
          <w:numId w:val="8"/>
        </w:numPr>
        <w:kinsoku/>
        <w:overflowPunct/>
        <w:topLinePunct w:val="0"/>
        <w:bidi w:val="0"/>
        <w:snapToGrid/>
        <w:spacing w:line="480" w:lineRule="exact"/>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本细则从202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年开始执行。</w:t>
      </w:r>
    </w:p>
    <w:p w14:paraId="7DFF5E4A">
      <w:pPr>
        <w:pStyle w:val="11"/>
        <w:keepNext w:val="0"/>
        <w:keepLines w:val="0"/>
        <w:pageBreakBefore w:val="0"/>
        <w:widowControl w:val="0"/>
        <w:tabs>
          <w:tab w:val="left" w:pos="1221"/>
        </w:tabs>
        <w:kinsoku/>
        <w:overflowPunct/>
        <w:topLinePunct w:val="0"/>
        <w:bidi w:val="0"/>
        <w:snapToGrid/>
        <w:spacing w:before="105" w:line="480" w:lineRule="exact"/>
        <w:ind w:left="0" w:right="444" w:firstLine="0"/>
        <w:textAlignment w:val="auto"/>
        <w:rPr>
          <w:color w:val="auto"/>
          <w:spacing w:val="-2"/>
          <w:sz w:val="32"/>
        </w:rPr>
      </w:pPr>
    </w:p>
    <w:p w14:paraId="48D14810">
      <w:pPr>
        <w:keepNext w:val="0"/>
        <w:keepLines w:val="0"/>
        <w:pageBreakBefore w:val="0"/>
        <w:widowControl w:val="0"/>
        <w:kinsoku/>
        <w:overflowPunct/>
        <w:topLinePunct w:val="0"/>
        <w:bidi w:val="0"/>
        <w:snapToGrid/>
        <w:spacing w:line="480" w:lineRule="exact"/>
        <w:ind w:firstLine="4112" w:firstLineChars="1490"/>
        <w:jc w:val="right"/>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计算机与人工智能学院</w:t>
      </w:r>
    </w:p>
    <w:p w14:paraId="1FC663C2">
      <w:pPr>
        <w:keepNext w:val="0"/>
        <w:keepLines w:val="0"/>
        <w:pageBreakBefore w:val="0"/>
        <w:widowControl w:val="0"/>
        <w:kinsoku/>
        <w:wordWrap w:val="0"/>
        <w:overflowPunct/>
        <w:topLinePunct w:val="0"/>
        <w:bidi w:val="0"/>
        <w:snapToGrid/>
        <w:spacing w:line="480" w:lineRule="exact"/>
        <w:ind w:firstLine="4940" w:firstLineChars="1790"/>
        <w:jc w:val="right"/>
        <w:textAlignment w:val="auto"/>
        <w:rPr>
          <w:rFonts w:ascii="宋体" w:hAnsi="宋体" w:eastAsia="宋体" w:cs="宋体"/>
          <w:color w:val="auto"/>
          <w:spacing w:val="-2"/>
          <w:sz w:val="28"/>
          <w:szCs w:val="28"/>
        </w:rPr>
      </w:pPr>
      <w:r>
        <w:rPr>
          <w:rFonts w:hint="eastAsia" w:ascii="宋体" w:hAnsi="宋体" w:eastAsia="宋体" w:cs="宋体"/>
          <w:color w:val="auto"/>
          <w:spacing w:val="-2"/>
          <w:sz w:val="28"/>
          <w:szCs w:val="28"/>
        </w:rPr>
        <w:t>202</w:t>
      </w:r>
      <w:r>
        <w:rPr>
          <w:rFonts w:hint="eastAsia" w:ascii="宋体" w:hAnsi="宋体" w:eastAsia="宋体" w:cs="宋体"/>
          <w:color w:val="auto"/>
          <w:spacing w:val="-2"/>
          <w:sz w:val="28"/>
          <w:szCs w:val="28"/>
          <w:lang w:val="en-US" w:eastAsia="zh-CN"/>
        </w:rPr>
        <w:t>6</w:t>
      </w:r>
      <w:r>
        <w:rPr>
          <w:rFonts w:hint="eastAsia" w:ascii="宋体" w:hAnsi="宋体" w:eastAsia="宋体" w:cs="宋体"/>
          <w:color w:val="auto"/>
          <w:spacing w:val="-2"/>
          <w:sz w:val="28"/>
          <w:szCs w:val="28"/>
        </w:rPr>
        <w:t>年</w:t>
      </w:r>
      <w:r>
        <w:rPr>
          <w:rFonts w:hint="eastAsia" w:ascii="宋体" w:hAnsi="宋体" w:eastAsia="宋体" w:cs="宋体"/>
          <w:color w:val="auto"/>
          <w:spacing w:val="-2"/>
          <w:sz w:val="28"/>
          <w:szCs w:val="28"/>
          <w:lang w:val="en-US" w:eastAsia="zh-CN"/>
        </w:rPr>
        <w:t>4</w:t>
      </w:r>
      <w:r>
        <w:rPr>
          <w:rFonts w:hint="eastAsia" w:ascii="宋体" w:hAnsi="宋体" w:eastAsia="宋体" w:cs="宋体"/>
          <w:color w:val="auto"/>
          <w:spacing w:val="-2"/>
          <w:sz w:val="28"/>
          <w:szCs w:val="28"/>
        </w:rPr>
        <w:t>月</w:t>
      </w:r>
      <w:r>
        <w:rPr>
          <w:rFonts w:hint="eastAsia" w:ascii="宋体" w:hAnsi="宋体" w:eastAsia="宋体" w:cs="宋体"/>
          <w:color w:val="auto"/>
          <w:spacing w:val="-2"/>
          <w:sz w:val="28"/>
          <w:szCs w:val="28"/>
          <w:lang w:val="en-US" w:eastAsia="zh-CN"/>
        </w:rPr>
        <w:t xml:space="preserve"> </w:t>
      </w:r>
      <w:r>
        <w:rPr>
          <w:rFonts w:hint="eastAsia" w:ascii="宋体" w:hAnsi="宋体" w:eastAsia="宋体" w:cs="宋体"/>
          <w:color w:val="auto"/>
          <w:spacing w:val="-2"/>
          <w:sz w:val="28"/>
          <w:szCs w:val="28"/>
        </w:rPr>
        <w:t xml:space="preserve">  </w:t>
      </w:r>
    </w:p>
    <w:p w14:paraId="18EDCA11">
      <w:pPr>
        <w:pStyle w:val="11"/>
        <w:keepNext w:val="0"/>
        <w:keepLines w:val="0"/>
        <w:pageBreakBefore w:val="0"/>
        <w:widowControl w:val="0"/>
        <w:tabs>
          <w:tab w:val="left" w:pos="1221"/>
        </w:tabs>
        <w:kinsoku/>
        <w:overflowPunct/>
        <w:topLinePunct w:val="0"/>
        <w:bidi w:val="0"/>
        <w:snapToGrid/>
        <w:spacing w:before="105" w:line="480" w:lineRule="exact"/>
        <w:ind w:left="0" w:right="444" w:firstLine="0"/>
        <w:textAlignment w:val="auto"/>
        <w:rPr>
          <w:color w:val="auto"/>
          <w:spacing w:val="-2"/>
          <w:sz w:val="32"/>
        </w:rPr>
      </w:pPr>
    </w:p>
    <w:p w14:paraId="756DB7AD">
      <w:pPr>
        <w:pStyle w:val="2"/>
        <w:keepNext w:val="0"/>
        <w:keepLines w:val="0"/>
        <w:pageBreakBefore w:val="0"/>
        <w:widowControl w:val="0"/>
        <w:kinsoku/>
        <w:overflowPunct/>
        <w:topLinePunct w:val="0"/>
        <w:bidi w:val="0"/>
        <w:snapToGrid/>
        <w:spacing w:line="480" w:lineRule="exact"/>
        <w:textAlignment w:val="auto"/>
        <w:rPr>
          <w:color w:val="auto"/>
          <w:spacing w:val="-2"/>
        </w:rPr>
      </w:pPr>
    </w:p>
    <w:p w14:paraId="0D2C6F52">
      <w:pPr>
        <w:pStyle w:val="4"/>
        <w:keepNext w:val="0"/>
        <w:keepLines w:val="0"/>
        <w:pageBreakBefore w:val="0"/>
        <w:widowControl w:val="0"/>
        <w:kinsoku/>
        <w:overflowPunct/>
        <w:topLinePunct w:val="0"/>
        <w:bidi w:val="0"/>
        <w:snapToGrid/>
        <w:spacing w:before="33" w:line="480" w:lineRule="exact"/>
        <w:ind w:right="598" w:firstLine="536"/>
        <w:textAlignment w:val="auto"/>
        <w:rPr>
          <w:color w:val="auto"/>
          <w:spacing w:val="-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3BC6">
    <w:pPr>
      <w:pStyle w:val="4"/>
      <w:spacing w:line="14" w:lineRule="auto"/>
      <w:ind w:firstLine="560"/>
      <w:rPr>
        <w:sz w:val="20"/>
      </w:rPr>
    </w:pPr>
    <w:r>
      <mc:AlternateContent>
        <mc:Choice Requires="wps">
          <w:drawing>
            <wp:anchor distT="0" distB="0" distL="0" distR="0" simplePos="0" relativeHeight="251659264" behindDoc="1" locked="0" layoutInCell="1" allowOverlap="1">
              <wp:simplePos x="0" y="0"/>
              <wp:positionH relativeFrom="page">
                <wp:posOffset>3594735</wp:posOffset>
              </wp:positionH>
              <wp:positionV relativeFrom="page">
                <wp:posOffset>9770110</wp:posOffset>
              </wp:positionV>
              <wp:extent cx="42926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429259" cy="139700"/>
                      </a:xfrm>
                      <a:prstGeom prst="rect">
                        <a:avLst/>
                      </a:prstGeom>
                    </wps:spPr>
                    <wps:txbx>
                      <w:txbxContent>
                        <w:p w14:paraId="0A54247D">
                          <w:pPr>
                            <w:spacing w:line="220" w:lineRule="exact"/>
                            <w:ind w:left="20"/>
                            <w:jc w:val="left"/>
                            <w:rPr>
                              <w:rFonts w:ascii="宋体"/>
                              <w:b/>
                              <w:sz w:val="18"/>
                            </w:rPr>
                          </w:pPr>
                          <w:r>
                            <w:rPr>
                              <w:rFonts w:ascii="宋体"/>
                              <w:b/>
                              <w:sz w:val="18"/>
                            </w:rPr>
                            <w:fldChar w:fldCharType="begin"/>
                          </w:r>
                          <w:r>
                            <w:rPr>
                              <w:rFonts w:ascii="宋体"/>
                              <w:b/>
                              <w:sz w:val="18"/>
                            </w:rPr>
                            <w:instrText xml:space="preserve"> PAGE </w:instrText>
                          </w:r>
                          <w:r>
                            <w:rPr>
                              <w:rFonts w:ascii="宋体"/>
                              <w:b/>
                              <w:sz w:val="18"/>
                            </w:rPr>
                            <w:fldChar w:fldCharType="separate"/>
                          </w:r>
                          <w:r>
                            <w:rPr>
                              <w:rFonts w:ascii="宋体"/>
                              <w:b/>
                              <w:sz w:val="18"/>
                            </w:rPr>
                            <w:t>1</w:t>
                          </w:r>
                          <w:r>
                            <w:rPr>
                              <w:rFonts w:ascii="宋体"/>
                              <w:b/>
                              <w:sz w:val="18"/>
                            </w:rPr>
                            <w:fldChar w:fldCharType="end"/>
                          </w:r>
                          <w:r>
                            <w:rPr>
                              <w:rFonts w:ascii="宋体"/>
                              <w:sz w:val="18"/>
                            </w:rPr>
                            <w:t>/</w:t>
                          </w:r>
                          <w:r>
                            <w:rPr>
                              <w:rFonts w:ascii="宋体"/>
                              <w:b/>
                              <w:spacing w:val="-5"/>
                              <w:sz w:val="18"/>
                            </w:rPr>
                            <w:fldChar w:fldCharType="begin"/>
                          </w:r>
                          <w:r>
                            <w:rPr>
                              <w:rFonts w:ascii="宋体"/>
                              <w:b/>
                              <w:spacing w:val="-5"/>
                              <w:sz w:val="18"/>
                            </w:rPr>
                            <w:instrText xml:space="preserve"> NUMPAGES </w:instrText>
                          </w:r>
                          <w:r>
                            <w:rPr>
                              <w:rFonts w:ascii="宋体"/>
                              <w:b/>
                              <w:spacing w:val="-5"/>
                              <w:sz w:val="18"/>
                            </w:rPr>
                            <w:fldChar w:fldCharType="separate"/>
                          </w:r>
                          <w:r>
                            <w:rPr>
                              <w:rFonts w:ascii="宋体"/>
                              <w:b/>
                              <w:spacing w:val="-5"/>
                              <w:sz w:val="18"/>
                            </w:rPr>
                            <w:t>4</w:t>
                          </w:r>
                          <w:r>
                            <w:rPr>
                              <w:rFonts w:ascii="宋体"/>
                              <w:b/>
                              <w:spacing w:val="-5"/>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3.05pt;margin-top:769.3pt;height:11pt;width:33.8pt;mso-position-horizontal-relative:page;mso-position-vertical-relative:page;z-index:-251657216;mso-width-relative:page;mso-height-relative:page;" filled="f" stroked="f" coordsize="21600,21600" o:gfxdata="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ZUwdfaAAAADQEAAA8AAAAAAAAAAQAgAAAAIgAAAGRycy9kb3ducmV2LnhtbFBLAQIUABQAAAAI&#10;AIdO4kCc1uEUsgEAAHMDAAAOAAAAAAAAAAEAIAAAACkBAABkcnMvZTJvRG9jLnhtbFBLBQYAAAAA&#10;BgAGAFkBAABNBQAAAAA=&#10;">
              <v:fill on="f" focussize="0,0"/>
              <v:stroke on="f"/>
              <v:imagedata o:title=""/>
              <o:lock v:ext="edit" aspectratio="f"/>
              <v:textbox inset="0mm,0mm,0mm,0mm">
                <w:txbxContent>
                  <w:p w14:paraId="0A54247D">
                    <w:pPr>
                      <w:spacing w:line="220" w:lineRule="exact"/>
                      <w:ind w:left="20"/>
                      <w:jc w:val="left"/>
                      <w:rPr>
                        <w:rFonts w:ascii="宋体"/>
                        <w:b/>
                        <w:sz w:val="18"/>
                      </w:rPr>
                    </w:pPr>
                    <w:r>
                      <w:rPr>
                        <w:rFonts w:ascii="宋体"/>
                        <w:b/>
                        <w:sz w:val="18"/>
                      </w:rPr>
                      <w:fldChar w:fldCharType="begin"/>
                    </w:r>
                    <w:r>
                      <w:rPr>
                        <w:rFonts w:ascii="宋体"/>
                        <w:b/>
                        <w:sz w:val="18"/>
                      </w:rPr>
                      <w:instrText xml:space="preserve"> PAGE </w:instrText>
                    </w:r>
                    <w:r>
                      <w:rPr>
                        <w:rFonts w:ascii="宋体"/>
                        <w:b/>
                        <w:sz w:val="18"/>
                      </w:rPr>
                      <w:fldChar w:fldCharType="separate"/>
                    </w:r>
                    <w:r>
                      <w:rPr>
                        <w:rFonts w:ascii="宋体"/>
                        <w:b/>
                        <w:sz w:val="18"/>
                      </w:rPr>
                      <w:t>1</w:t>
                    </w:r>
                    <w:r>
                      <w:rPr>
                        <w:rFonts w:ascii="宋体"/>
                        <w:b/>
                        <w:sz w:val="18"/>
                      </w:rPr>
                      <w:fldChar w:fldCharType="end"/>
                    </w:r>
                    <w:r>
                      <w:rPr>
                        <w:rFonts w:ascii="宋体"/>
                        <w:sz w:val="18"/>
                      </w:rPr>
                      <w:t>/</w:t>
                    </w:r>
                    <w:r>
                      <w:rPr>
                        <w:rFonts w:ascii="宋体"/>
                        <w:b/>
                        <w:spacing w:val="-5"/>
                        <w:sz w:val="18"/>
                      </w:rPr>
                      <w:fldChar w:fldCharType="begin"/>
                    </w:r>
                    <w:r>
                      <w:rPr>
                        <w:rFonts w:ascii="宋体"/>
                        <w:b/>
                        <w:spacing w:val="-5"/>
                        <w:sz w:val="18"/>
                      </w:rPr>
                      <w:instrText xml:space="preserve"> NUMPAGES </w:instrText>
                    </w:r>
                    <w:r>
                      <w:rPr>
                        <w:rFonts w:ascii="宋体"/>
                        <w:b/>
                        <w:spacing w:val="-5"/>
                        <w:sz w:val="18"/>
                      </w:rPr>
                      <w:fldChar w:fldCharType="separate"/>
                    </w:r>
                    <w:r>
                      <w:rPr>
                        <w:rFonts w:ascii="宋体"/>
                        <w:b/>
                        <w:spacing w:val="-5"/>
                        <w:sz w:val="18"/>
                      </w:rPr>
                      <w:t>4</w:t>
                    </w:r>
                    <w:r>
                      <w:rPr>
                        <w:rFonts w:ascii="宋体"/>
                        <w:b/>
                        <w:spacing w:val="-5"/>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3A381"/>
    <w:multiLevelType w:val="singleLevel"/>
    <w:tmpl w:val="8E23A381"/>
    <w:lvl w:ilvl="0" w:tentative="0">
      <w:start w:val="1"/>
      <w:numFmt w:val="decimal"/>
      <w:suff w:val="nothing"/>
      <w:lvlText w:val="%1．"/>
      <w:lvlJc w:val="left"/>
      <w:pPr>
        <w:ind w:left="0" w:firstLine="400"/>
      </w:pPr>
      <w:rPr>
        <w:rFonts w:hint="default"/>
      </w:rPr>
    </w:lvl>
  </w:abstractNum>
  <w:abstractNum w:abstractNumId="1">
    <w:nsid w:val="B31C6684"/>
    <w:multiLevelType w:val="singleLevel"/>
    <w:tmpl w:val="B31C6684"/>
    <w:lvl w:ilvl="0" w:tentative="0">
      <w:start w:val="1"/>
      <w:numFmt w:val="decimal"/>
      <w:suff w:val="nothing"/>
      <w:lvlText w:val="%1．"/>
      <w:lvlJc w:val="left"/>
      <w:pPr>
        <w:ind w:left="0" w:firstLine="400"/>
      </w:pPr>
      <w:rPr>
        <w:rFonts w:hint="default"/>
      </w:rPr>
    </w:lvl>
  </w:abstractNum>
  <w:abstractNum w:abstractNumId="2">
    <w:nsid w:val="D27C5CA0"/>
    <w:multiLevelType w:val="singleLevel"/>
    <w:tmpl w:val="D27C5CA0"/>
    <w:lvl w:ilvl="0" w:tentative="0">
      <w:start w:val="1"/>
      <w:numFmt w:val="decimal"/>
      <w:suff w:val="nothing"/>
      <w:lvlText w:val="%1．"/>
      <w:lvlJc w:val="left"/>
      <w:pPr>
        <w:ind w:left="0" w:firstLine="400"/>
      </w:pPr>
      <w:rPr>
        <w:rFonts w:hint="default"/>
      </w:rPr>
    </w:lvl>
  </w:abstractNum>
  <w:abstractNum w:abstractNumId="3">
    <w:nsid w:val="0400722B"/>
    <w:multiLevelType w:val="singleLevel"/>
    <w:tmpl w:val="0400722B"/>
    <w:lvl w:ilvl="0" w:tentative="0">
      <w:start w:val="1"/>
      <w:numFmt w:val="decimal"/>
      <w:suff w:val="nothing"/>
      <w:lvlText w:val="%1．"/>
      <w:lvlJc w:val="left"/>
      <w:pPr>
        <w:ind w:left="0" w:firstLine="400"/>
      </w:pPr>
      <w:rPr>
        <w:rFonts w:hint="default"/>
      </w:rPr>
    </w:lvl>
  </w:abstractNum>
  <w:abstractNum w:abstractNumId="4">
    <w:nsid w:val="08EF8A57"/>
    <w:multiLevelType w:val="singleLevel"/>
    <w:tmpl w:val="08EF8A57"/>
    <w:lvl w:ilvl="0" w:tentative="0">
      <w:start w:val="1"/>
      <w:numFmt w:val="decimal"/>
      <w:suff w:val="nothing"/>
      <w:lvlText w:val="%1．"/>
      <w:lvlJc w:val="left"/>
      <w:pPr>
        <w:ind w:left="0" w:firstLine="400"/>
      </w:pPr>
      <w:rPr>
        <w:rFonts w:hint="default" w:ascii="宋体" w:hAnsi="宋体" w:eastAsia="宋体" w:cs="宋体"/>
        <w:sz w:val="28"/>
        <w:szCs w:val="28"/>
      </w:rPr>
    </w:lvl>
  </w:abstractNum>
  <w:abstractNum w:abstractNumId="5">
    <w:nsid w:val="0DFFD069"/>
    <w:multiLevelType w:val="singleLevel"/>
    <w:tmpl w:val="0DFFD069"/>
    <w:lvl w:ilvl="0" w:tentative="0">
      <w:start w:val="1"/>
      <w:numFmt w:val="decimal"/>
      <w:suff w:val="nothing"/>
      <w:lvlText w:val="%1．"/>
      <w:lvlJc w:val="left"/>
      <w:pPr>
        <w:ind w:left="0" w:firstLine="400"/>
      </w:pPr>
      <w:rPr>
        <w:rFonts w:hint="default"/>
      </w:rPr>
    </w:lvl>
  </w:abstractNum>
  <w:abstractNum w:abstractNumId="6">
    <w:nsid w:val="29DCCA8E"/>
    <w:multiLevelType w:val="singleLevel"/>
    <w:tmpl w:val="29DCCA8E"/>
    <w:lvl w:ilvl="0" w:tentative="0">
      <w:start w:val="1"/>
      <w:numFmt w:val="decimal"/>
      <w:suff w:val="nothing"/>
      <w:lvlText w:val="%1．"/>
      <w:lvlJc w:val="left"/>
      <w:pPr>
        <w:ind w:left="0" w:firstLine="400"/>
      </w:pPr>
      <w:rPr>
        <w:rFonts w:hint="default" w:ascii="宋体" w:hAnsi="宋体" w:eastAsia="宋体" w:cs="宋体"/>
        <w:color w:val="auto"/>
        <w:sz w:val="28"/>
        <w:szCs w:val="28"/>
      </w:rPr>
    </w:lvl>
  </w:abstractNum>
  <w:abstractNum w:abstractNumId="7">
    <w:nsid w:val="3871FE6B"/>
    <w:multiLevelType w:val="singleLevel"/>
    <w:tmpl w:val="3871FE6B"/>
    <w:lvl w:ilvl="0" w:tentative="0">
      <w:start w:val="8"/>
      <w:numFmt w:val="chineseCounting"/>
      <w:suff w:val="nothing"/>
      <w:lvlText w:val="（%1）"/>
      <w:lvlJc w:val="left"/>
      <w:rPr>
        <w:rFonts w:hint="eastAsia"/>
      </w:rPr>
    </w:lvl>
  </w:abstractNum>
  <w:num w:numId="1">
    <w:abstractNumId w:val="0"/>
  </w:num>
  <w:num w:numId="2">
    <w:abstractNumId w:val="1"/>
  </w:num>
  <w:num w:numId="3">
    <w:abstractNumId w:val="4"/>
  </w:num>
  <w:num w:numId="4">
    <w:abstractNumId w:val="6"/>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F58F9"/>
    <w:rsid w:val="000A56D6"/>
    <w:rsid w:val="000B0502"/>
    <w:rsid w:val="00373BD2"/>
    <w:rsid w:val="003816FF"/>
    <w:rsid w:val="0039764A"/>
    <w:rsid w:val="003C4881"/>
    <w:rsid w:val="00475995"/>
    <w:rsid w:val="004C3C45"/>
    <w:rsid w:val="00597979"/>
    <w:rsid w:val="005C70D2"/>
    <w:rsid w:val="00625F02"/>
    <w:rsid w:val="006E3585"/>
    <w:rsid w:val="006E6A78"/>
    <w:rsid w:val="007C0750"/>
    <w:rsid w:val="007E0C99"/>
    <w:rsid w:val="00905AF5"/>
    <w:rsid w:val="00936276"/>
    <w:rsid w:val="00A13E49"/>
    <w:rsid w:val="00A230FA"/>
    <w:rsid w:val="00AA73D3"/>
    <w:rsid w:val="00B409C8"/>
    <w:rsid w:val="00C61DA4"/>
    <w:rsid w:val="00C71BCA"/>
    <w:rsid w:val="00C90A5B"/>
    <w:rsid w:val="012A6BDB"/>
    <w:rsid w:val="044C50BA"/>
    <w:rsid w:val="05094D59"/>
    <w:rsid w:val="06584ABD"/>
    <w:rsid w:val="06816C1F"/>
    <w:rsid w:val="07265AD0"/>
    <w:rsid w:val="08E32BEA"/>
    <w:rsid w:val="09292FD4"/>
    <w:rsid w:val="09EF276F"/>
    <w:rsid w:val="0B1D4DBF"/>
    <w:rsid w:val="0C0B4A87"/>
    <w:rsid w:val="0CBE4961"/>
    <w:rsid w:val="0EDD34DE"/>
    <w:rsid w:val="0F144A26"/>
    <w:rsid w:val="0FDB6241"/>
    <w:rsid w:val="0FF00FEF"/>
    <w:rsid w:val="102A170C"/>
    <w:rsid w:val="12323B41"/>
    <w:rsid w:val="13AF4D1D"/>
    <w:rsid w:val="14955AFB"/>
    <w:rsid w:val="149734DE"/>
    <w:rsid w:val="14FA19D0"/>
    <w:rsid w:val="15C165FD"/>
    <w:rsid w:val="16C50583"/>
    <w:rsid w:val="17554800"/>
    <w:rsid w:val="18E45469"/>
    <w:rsid w:val="197918D9"/>
    <w:rsid w:val="19E27BFB"/>
    <w:rsid w:val="1AC47300"/>
    <w:rsid w:val="1BB235FD"/>
    <w:rsid w:val="1BC7354C"/>
    <w:rsid w:val="1C28439E"/>
    <w:rsid w:val="1D8A3871"/>
    <w:rsid w:val="1D9B4C90"/>
    <w:rsid w:val="1DCF58F9"/>
    <w:rsid w:val="1FAC4343"/>
    <w:rsid w:val="21C848E0"/>
    <w:rsid w:val="234B6811"/>
    <w:rsid w:val="242E32EC"/>
    <w:rsid w:val="24C820E3"/>
    <w:rsid w:val="25C259D2"/>
    <w:rsid w:val="26EC1B9F"/>
    <w:rsid w:val="2A10185F"/>
    <w:rsid w:val="2AC65C2F"/>
    <w:rsid w:val="2AE83DFC"/>
    <w:rsid w:val="2DB04802"/>
    <w:rsid w:val="2E9C43C4"/>
    <w:rsid w:val="2F945D05"/>
    <w:rsid w:val="31D03037"/>
    <w:rsid w:val="33A361F5"/>
    <w:rsid w:val="350725E3"/>
    <w:rsid w:val="35CF1523"/>
    <w:rsid w:val="36BD75CE"/>
    <w:rsid w:val="371A0D94"/>
    <w:rsid w:val="371B42F4"/>
    <w:rsid w:val="377B4EDA"/>
    <w:rsid w:val="37B87D95"/>
    <w:rsid w:val="37CC315A"/>
    <w:rsid w:val="39144F66"/>
    <w:rsid w:val="393D0B84"/>
    <w:rsid w:val="393E4B64"/>
    <w:rsid w:val="3A573895"/>
    <w:rsid w:val="3AE113B1"/>
    <w:rsid w:val="3D874491"/>
    <w:rsid w:val="3F632CDC"/>
    <w:rsid w:val="40534AFF"/>
    <w:rsid w:val="412A4A78"/>
    <w:rsid w:val="41547687"/>
    <w:rsid w:val="41962EF5"/>
    <w:rsid w:val="42B52204"/>
    <w:rsid w:val="43503578"/>
    <w:rsid w:val="474A199E"/>
    <w:rsid w:val="485115AB"/>
    <w:rsid w:val="4A146896"/>
    <w:rsid w:val="4D550108"/>
    <w:rsid w:val="4E7F52EE"/>
    <w:rsid w:val="50947367"/>
    <w:rsid w:val="50B81DB7"/>
    <w:rsid w:val="50ED17E3"/>
    <w:rsid w:val="51085492"/>
    <w:rsid w:val="52982FA5"/>
    <w:rsid w:val="52D10231"/>
    <w:rsid w:val="53F05806"/>
    <w:rsid w:val="56FA60FC"/>
    <w:rsid w:val="58623F85"/>
    <w:rsid w:val="5A1D7141"/>
    <w:rsid w:val="5B0B323E"/>
    <w:rsid w:val="5B7F090A"/>
    <w:rsid w:val="5C5E190E"/>
    <w:rsid w:val="5C9F02B6"/>
    <w:rsid w:val="5D8B5480"/>
    <w:rsid w:val="5E2C4626"/>
    <w:rsid w:val="5FE1582B"/>
    <w:rsid w:val="60636240"/>
    <w:rsid w:val="60AF37E6"/>
    <w:rsid w:val="61927448"/>
    <w:rsid w:val="64491CD0"/>
    <w:rsid w:val="66C92EFB"/>
    <w:rsid w:val="677D0530"/>
    <w:rsid w:val="69FD14B4"/>
    <w:rsid w:val="6B684015"/>
    <w:rsid w:val="6B6E4518"/>
    <w:rsid w:val="6C3C4A1B"/>
    <w:rsid w:val="6E3A1121"/>
    <w:rsid w:val="6F2308EC"/>
    <w:rsid w:val="70067F71"/>
    <w:rsid w:val="7272238C"/>
    <w:rsid w:val="72FC49FE"/>
    <w:rsid w:val="739E5AB6"/>
    <w:rsid w:val="756F711B"/>
    <w:rsid w:val="758701C2"/>
    <w:rsid w:val="76D5324E"/>
    <w:rsid w:val="7A4F63C0"/>
    <w:rsid w:val="7AAD6672"/>
    <w:rsid w:val="7B426072"/>
    <w:rsid w:val="7BAC65B7"/>
    <w:rsid w:val="7F45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ind w:left="903"/>
      <w:outlineLvl w:val="0"/>
    </w:pPr>
    <w:rPr>
      <w:rFonts w:ascii="楷体_GB2312" w:hAnsi="楷体_GB2312" w:eastAsia="楷体_GB2312" w:cs="楷体_GB2312"/>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ody Text"/>
    <w:basedOn w:val="1"/>
    <w:qFormat/>
    <w:uiPriority w:val="1"/>
    <w:pPr>
      <w:adjustRightInd w:val="0"/>
      <w:spacing w:line="480" w:lineRule="exact"/>
      <w:ind w:firstLine="640" w:firstLineChars="200"/>
    </w:pPr>
    <w:rPr>
      <w:rFonts w:ascii="宋体" w:hAnsi="宋体" w:eastAsia="宋体" w:cs="仿宋_GB2312"/>
      <w:sz w:val="28"/>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0"/>
    <w:rPr>
      <w:b/>
      <w:bCs/>
    </w:rPr>
  </w:style>
  <w:style w:type="character" w:styleId="10">
    <w:name w:val="annotation reference"/>
    <w:basedOn w:val="9"/>
    <w:qFormat/>
    <w:uiPriority w:val="0"/>
    <w:rPr>
      <w:sz w:val="21"/>
      <w:szCs w:val="21"/>
    </w:rPr>
  </w:style>
  <w:style w:type="paragraph" w:styleId="11">
    <w:name w:val="List Paragraph"/>
    <w:basedOn w:val="1"/>
    <w:qFormat/>
    <w:uiPriority w:val="1"/>
    <w:pPr>
      <w:ind w:left="260" w:firstLine="640"/>
    </w:pPr>
    <w:rPr>
      <w:rFonts w:ascii="仿宋_GB2312" w:hAnsi="仿宋_GB2312" w:eastAsia="仿宋_GB2312" w:cs="仿宋_GB2312"/>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样式1"/>
    <w:basedOn w:val="1"/>
    <w:qFormat/>
    <w:uiPriority w:val="0"/>
    <w:pPr>
      <w:adjustRightInd w:val="0"/>
      <w:spacing w:line="480" w:lineRule="exact"/>
      <w:ind w:firstLine="640" w:firstLineChars="200"/>
    </w:pPr>
    <w:rPr>
      <w:rFonts w:ascii="宋体" w:hAnsi="宋体" w:eastAsia="宋体" w:cs="仿宋_GB2312"/>
      <w:spacing w:val="-2"/>
      <w:sz w:val="28"/>
      <w:szCs w:val="32"/>
    </w:r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2958</Words>
  <Characters>3017</Characters>
  <Lines>17</Lines>
  <Paragraphs>4</Paragraphs>
  <TotalTime>10</TotalTime>
  <ScaleCrop>false</ScaleCrop>
  <LinksUpToDate>false</LinksUpToDate>
  <CharactersWithSpaces>3025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2025-03-19T03:29:00Z</dcterms:created>
  <dc:creator>丽倩</dc:creator>
  <cp:lastModifiedBy>陪你度过漫长岁月</cp:lastModifiedBy>
  <dcterms:modified xsi:type="dcterms:W3CDTF">2026-04-01T00:56:48Z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59567EE59A7F4A8AA7F90A55A8B3BBEA_13</vt:lpwstr>
  </property>
  <property fmtid="{D5CDD505-2E9C-101B-9397-08002B2CF9AE}" pid="4" name="KSOTemplateDocerSaveRecord">
    <vt:lpwstr>eyJoZGlkIjoiZmE2NzY3MTZiOTNhZDlmZGY4MjdjYTg1NmIxYzJhM2UiLCJ1c2VySWQiOiIyNDc4MzU3MDIifQ==</vt:lpwstr>
  </property>
</Properties>
</file>