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D2F" w:rsidRDefault="00FA1D2F" w:rsidP="00FA1D2F">
      <w:pPr>
        <w:pStyle w:val="a5"/>
        <w:spacing w:before="0" w:beforeAutospacing="0" w:after="0" w:afterAutospacing="0" w:line="2000" w:lineRule="exact"/>
        <w:jc w:val="center"/>
        <w:rPr>
          <w:rStyle w:val="a6"/>
          <w:rFonts w:asciiTheme="majorEastAsia" w:eastAsiaTheme="majorEastAsia" w:hAnsiTheme="majorEastAsia"/>
          <w:color w:val="FF0000"/>
          <w:w w:val="80"/>
          <w:sz w:val="96"/>
          <w:szCs w:val="84"/>
        </w:rPr>
      </w:pPr>
      <w:r>
        <w:rPr>
          <w:rStyle w:val="a6"/>
          <w:rFonts w:asciiTheme="majorEastAsia" w:eastAsiaTheme="majorEastAsia" w:hAnsiTheme="majorEastAsia" w:hint="eastAsia"/>
          <w:color w:val="FF0000"/>
          <w:w w:val="80"/>
          <w:sz w:val="96"/>
          <w:szCs w:val="84"/>
        </w:rPr>
        <w:t>中共中央组织部文件</w:t>
      </w:r>
    </w:p>
    <w:p w:rsidR="00FA1D2F" w:rsidRDefault="00FA1D2F" w:rsidP="00FA1D2F">
      <w:pPr>
        <w:pStyle w:val="a5"/>
        <w:spacing w:before="0" w:beforeAutospacing="0" w:after="0" w:afterAutospacing="0" w:line="440" w:lineRule="exact"/>
        <w:jc w:val="center"/>
        <w:rPr>
          <w:rFonts w:ascii="仿宋_GB2312" w:eastAsia="仿宋_GB2312" w:hint="eastAsia"/>
          <w:sz w:val="28"/>
          <w:szCs w:val="28"/>
        </w:rPr>
      </w:pPr>
      <w:proofErr w:type="gramStart"/>
      <w:r>
        <w:rPr>
          <w:rFonts w:ascii="仿宋_GB2312" w:eastAsia="仿宋_GB2312" w:hint="eastAsia"/>
          <w:sz w:val="28"/>
          <w:szCs w:val="28"/>
        </w:rPr>
        <w:t>中组发</w:t>
      </w:r>
      <w:r>
        <w:rPr>
          <w:rFonts w:ascii="仿宋_GB2312" w:eastAsia="仿宋_GB2312" w:hAnsiTheme="minorEastAsia" w:hint="eastAsia"/>
          <w:sz w:val="28"/>
          <w:szCs w:val="28"/>
        </w:rPr>
        <w:t>〔</w:t>
      </w:r>
      <w:r>
        <w:rPr>
          <w:rFonts w:ascii="仿宋_GB2312" w:eastAsia="仿宋_GB2312" w:hint="eastAsia"/>
          <w:sz w:val="28"/>
          <w:szCs w:val="28"/>
        </w:rPr>
        <w:t>2014〕</w:t>
      </w:r>
      <w:proofErr w:type="gramEnd"/>
      <w:r>
        <w:rPr>
          <w:rFonts w:ascii="仿宋_GB2312" w:eastAsia="仿宋_GB2312" w:hint="eastAsia"/>
          <w:sz w:val="28"/>
          <w:szCs w:val="28"/>
        </w:rPr>
        <w:t>6号</w:t>
      </w:r>
    </w:p>
    <w:p w:rsidR="00FA1D2F" w:rsidRDefault="00FA1D2F" w:rsidP="00FA1D2F">
      <w:pPr>
        <w:pStyle w:val="a5"/>
        <w:spacing w:before="0" w:beforeAutospacing="0" w:after="0" w:afterAutospacing="0" w:line="440" w:lineRule="exact"/>
        <w:jc w:val="center"/>
        <w:rPr>
          <w:rStyle w:val="a6"/>
          <w:rFonts w:ascii="黑体" w:eastAsia="黑体" w:hAnsi="Verdana" w:hint="eastAsia"/>
          <w:color w:val="000000"/>
          <w:sz w:val="36"/>
          <w:szCs w:val="3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180340</wp:posOffset>
                </wp:positionV>
                <wp:extent cx="519112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191125" cy="0"/>
                        </a:xfrm>
                        <a:prstGeom prst="line">
                          <a:avLst/>
                        </a:prstGeom>
                        <a:ln w="2540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40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" strokecolor="red" strokeweight="2pt"/>
            </w:pict>
          </mc:Fallback>
        </mc:AlternateContent>
      </w:r>
    </w:p>
    <w:p w:rsidR="00FA1D2F" w:rsidRDefault="00FA1D2F" w:rsidP="00FA1D2F">
      <w:pPr>
        <w:widowControl/>
        <w:spacing w:beforeLines="50" w:before="156" w:line="480" w:lineRule="exact"/>
        <w:jc w:val="center"/>
        <w:rPr>
          <w:rStyle w:val="a6"/>
          <w:rFonts w:ascii="黑体" w:eastAsia="黑体" w:hAnsi="Verdana" w:hint="eastAsia"/>
          <w:b w:val="0"/>
          <w:color w:val="000000"/>
          <w:sz w:val="36"/>
          <w:szCs w:val="36"/>
        </w:rPr>
      </w:pPr>
      <w:r>
        <w:rPr>
          <w:rStyle w:val="a6"/>
          <w:rFonts w:ascii="黑体" w:eastAsia="黑体" w:hAnsi="Verdana" w:hint="eastAsia"/>
          <w:b w:val="0"/>
          <w:color w:val="000000"/>
          <w:sz w:val="36"/>
          <w:szCs w:val="36"/>
        </w:rPr>
        <w:t>配偶已移居国（境）外的国家工作人员</w:t>
      </w:r>
    </w:p>
    <w:p w:rsidR="00FA1D2F" w:rsidRDefault="00FA1D2F" w:rsidP="00FA1D2F">
      <w:pPr>
        <w:widowControl/>
        <w:spacing w:line="480" w:lineRule="exact"/>
        <w:jc w:val="center"/>
        <w:rPr>
          <w:rStyle w:val="a6"/>
          <w:rFonts w:ascii="黑体" w:eastAsia="黑体" w:hAnsi="Verdana" w:hint="eastAsia"/>
          <w:b w:val="0"/>
          <w:color w:val="000000"/>
          <w:sz w:val="36"/>
          <w:szCs w:val="36"/>
        </w:rPr>
      </w:pPr>
      <w:r>
        <w:rPr>
          <w:rStyle w:val="a6"/>
          <w:rFonts w:ascii="黑体" w:eastAsia="黑体" w:hAnsi="Verdana" w:hint="eastAsia"/>
          <w:b w:val="0"/>
          <w:color w:val="000000"/>
          <w:sz w:val="36"/>
          <w:szCs w:val="36"/>
        </w:rPr>
        <w:t>任职岗位管理办法</w:t>
      </w:r>
    </w:p>
    <w:p w:rsidR="00FA1D2F" w:rsidRDefault="00FA1D2F" w:rsidP="00FA1D2F">
      <w:pPr>
        <w:widowControl/>
        <w:spacing w:line="480" w:lineRule="exact"/>
        <w:rPr>
          <w:rFonts w:ascii="仿宋_GB2312" w:eastAsia="仿宋_GB2312" w:hAnsi="宋体" w:cs="宋体" w:hint="eastAsia"/>
          <w:color w:val="333333"/>
          <w:kern w:val="0"/>
          <w:sz w:val="28"/>
          <w:szCs w:val="28"/>
        </w:rPr>
      </w:pP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第一条 为规范配偶已移居国（境）外的国家工作人员任职岗位管理工作，根据《党政领导干部选拔任用工作条例》和《关于对配偶子女均已移居国（境）外的国家工作人员加强管理的暂行规定》，制定本办法。</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第二条 本办法适用于有下列情形之一的国家工作人员：</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（一）配偶已移居国（境）外的；</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（二）没有配偶，子女均已移居国（境）外的。</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前款所称“移居国（境）外”，是指获得外国国籍，或者获得国（境）外永久居留权、长期居留许可。</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第三条 配偶已移居国（境）外的国家工作人员[包括没有配偶，子女均已移居国（境）外的，下同]不得在下列工作岗位任职：</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（一）党委、人大、政府、政协、纪委、法院、检察院领导成员岗位，上列机关的工作部门或者机关内设机构负责人岗位；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（二）国有独资和国有控股企业（含国有独资和国有控股金融企业）正职领导人员、事业单位主要负责人岗位，及其掌握重大商业机密或其他重大机密的领导班子成员和中层领导人员岗位；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（三）涉及军事、外交、公安、国家安全、国防科技工业、机要、组织人事等部门中的重要岗位；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（四）掌握国家安全事项，以及发展和改革、财政 、金融监管等重大经济或科技安全事项等方面的工作岗位；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lastRenderedPageBreak/>
        <w:t xml:space="preserve">　　（五）其他不适合由配偶已移居国（境）外的国家工作人员任职的岗位。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第四条 对配偶已移居国（境）外的国家工作人员，且在本办法第三条所列岗位任职的，组织人事部门应当与其谈话，由其配偶（没有配偶的由其子女）主动放弃外国国籍、国（境）外永久居留权和长期居留许可，或调整其现岗位。</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主动放弃的，应以移居国家（或地区）有关部门办理的注销手续为证。因移居国家（或地区）的法律原因无法办理注销手续的，须上缴所有移居证件，并主动申请列为公安部门出入境管理的登记备案人员。</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第五条 任职岗位调整应当按照干部管理权限，由组织人事部门提出建议，按程序报党委（党组）决定。组织人事部门应当将党委（党组）的决定报上一级组织人事部门备案。</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第六条 经组织批准引进的海外高层次人才和国家特需高级科级人才，如其配偶已移居国（境）外[没有配偶，子女均已移居国（境）外]的，确因工作需要需在第三条所列岗位任职的，在</w:t>
      </w:r>
      <w:proofErr w:type="gramStart"/>
      <w:r>
        <w:rPr>
          <w:rFonts w:ascii="仿宋_GB2312" w:eastAsia="仿宋_GB2312" w:hAnsi="宋体" w:cs="宋体" w:hint="eastAsia"/>
          <w:color w:val="333333"/>
          <w:kern w:val="0"/>
          <w:sz w:val="28"/>
          <w:szCs w:val="28"/>
        </w:rPr>
        <w:t>作出</w:t>
      </w:r>
      <w:proofErr w:type="gramEnd"/>
      <w:r>
        <w:rPr>
          <w:rFonts w:ascii="仿宋_GB2312" w:eastAsia="仿宋_GB2312" w:hAnsi="宋体" w:cs="宋体" w:hint="eastAsia"/>
          <w:color w:val="333333"/>
          <w:kern w:val="0"/>
          <w:sz w:val="28"/>
          <w:szCs w:val="28"/>
        </w:rPr>
        <w:t>决定前须报经上一级组织人事部门批复同意。</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如本人也已获得外国国籍或者获得国（境）外永久居留权、长期居留许可的，不得在第三条所列岗位任职。确因工作需要需在第三条所列岗位以外任职的，在</w:t>
      </w:r>
      <w:proofErr w:type="gramStart"/>
      <w:r>
        <w:rPr>
          <w:rFonts w:ascii="仿宋_GB2312" w:eastAsia="仿宋_GB2312" w:hAnsi="宋体" w:cs="宋体" w:hint="eastAsia"/>
          <w:color w:val="333333"/>
          <w:kern w:val="0"/>
          <w:sz w:val="28"/>
          <w:szCs w:val="28"/>
        </w:rPr>
        <w:t>作出</w:t>
      </w:r>
      <w:proofErr w:type="gramEnd"/>
      <w:r>
        <w:rPr>
          <w:rFonts w:ascii="仿宋_GB2312" w:eastAsia="仿宋_GB2312" w:hAnsi="宋体" w:cs="宋体" w:hint="eastAsia"/>
          <w:color w:val="333333"/>
          <w:kern w:val="0"/>
          <w:sz w:val="28"/>
          <w:szCs w:val="28"/>
        </w:rPr>
        <w:t>决定前须征求上一级组织人事部门的意见。</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第七条 配偶已移居国（境）外的国家工作人员不服从组织调整、交流决定的，给予批评教育；拒不改正的，依照法律及有关规定免职或者降职调离原岗位使用；构成违纪的，依照有关规定给予纪律处分。</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第八条 组织人事部门负责对本办法执行情况进行监督检查，并将每年度执行情况报告上一级组织人事部门。</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第九条 本办法由中共中央组织部负责解释。</w:t>
      </w:r>
    </w:p>
    <w:p w:rsidR="00FA1D2F" w:rsidRDefault="00FA1D2F" w:rsidP="00FA1D2F">
      <w:pPr>
        <w:widowControl/>
        <w:spacing w:line="470" w:lineRule="exact"/>
        <w:rPr>
          <w:rFonts w:ascii="仿宋_GB2312" w:eastAsia="仿宋_GB2312" w:hAnsi="宋体" w:cs="宋体" w:hint="eastAsia"/>
          <w:color w:val="333333"/>
          <w:kern w:val="0"/>
          <w:sz w:val="28"/>
          <w:szCs w:val="28"/>
        </w:rPr>
      </w:pPr>
      <w:r>
        <w:rPr>
          <w:rFonts w:ascii="仿宋_GB2312" w:eastAsia="仿宋_GB2312" w:hAnsi="宋体" w:cs="宋体" w:hint="eastAsia"/>
          <w:color w:val="333333"/>
          <w:kern w:val="0"/>
          <w:sz w:val="28"/>
          <w:szCs w:val="28"/>
        </w:rPr>
        <w:t xml:space="preserve">　　第十条 本办法自发布之日起施行。</w:t>
      </w:r>
    </w:p>
    <w:p w:rsidR="00FA1D2F" w:rsidRDefault="00FA1D2F" w:rsidP="00FA1D2F">
      <w:pPr>
        <w:spacing w:line="480" w:lineRule="exact"/>
        <w:rPr>
          <w:rFonts w:ascii="仿宋_GB2312" w:eastAsia="仿宋_GB2312" w:hint="eastAsia"/>
          <w:sz w:val="28"/>
          <w:szCs w:val="28"/>
        </w:rPr>
      </w:pPr>
    </w:p>
    <w:p w:rsidR="005F2DED" w:rsidRPr="00FA1D2F" w:rsidRDefault="005F2DED">
      <w:bookmarkStart w:id="0" w:name="_GoBack"/>
      <w:bookmarkEnd w:id="0"/>
    </w:p>
    <w:sectPr w:rsidR="005F2DED" w:rsidRPr="00FA1D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02A" w:rsidRDefault="0044002A" w:rsidP="00FA1D2F">
      <w:r>
        <w:separator/>
      </w:r>
    </w:p>
  </w:endnote>
  <w:endnote w:type="continuationSeparator" w:id="0">
    <w:p w:rsidR="0044002A" w:rsidRDefault="0044002A" w:rsidP="00FA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02A" w:rsidRDefault="0044002A" w:rsidP="00FA1D2F">
      <w:r>
        <w:separator/>
      </w:r>
    </w:p>
  </w:footnote>
  <w:footnote w:type="continuationSeparator" w:id="0">
    <w:p w:rsidR="0044002A" w:rsidRDefault="0044002A" w:rsidP="00FA1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1D"/>
    <w:rsid w:val="0019631D"/>
    <w:rsid w:val="0044002A"/>
    <w:rsid w:val="005F2DED"/>
    <w:rsid w:val="00FA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2F"/>
    <w:rPr>
      <w:sz w:val="18"/>
      <w:szCs w:val="18"/>
    </w:rPr>
  </w:style>
  <w:style w:type="paragraph" w:styleId="a4">
    <w:name w:val="footer"/>
    <w:basedOn w:val="a"/>
    <w:link w:val="Char0"/>
    <w:uiPriority w:val="99"/>
    <w:unhideWhenUsed/>
    <w:rsid w:val="00FA1D2F"/>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2F"/>
    <w:rPr>
      <w:sz w:val="18"/>
      <w:szCs w:val="18"/>
    </w:rPr>
  </w:style>
  <w:style w:type="paragraph" w:styleId="a5">
    <w:name w:val="Normal (Web)"/>
    <w:basedOn w:val="a"/>
    <w:uiPriority w:val="99"/>
    <w:semiHidden/>
    <w:unhideWhenUsed/>
    <w:rsid w:val="00FA1D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A1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1D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1D2F"/>
    <w:rPr>
      <w:sz w:val="18"/>
      <w:szCs w:val="18"/>
    </w:rPr>
  </w:style>
  <w:style w:type="paragraph" w:styleId="a4">
    <w:name w:val="footer"/>
    <w:basedOn w:val="a"/>
    <w:link w:val="Char0"/>
    <w:uiPriority w:val="99"/>
    <w:unhideWhenUsed/>
    <w:rsid w:val="00FA1D2F"/>
    <w:pPr>
      <w:tabs>
        <w:tab w:val="center" w:pos="4153"/>
        <w:tab w:val="right" w:pos="8306"/>
      </w:tabs>
      <w:snapToGrid w:val="0"/>
      <w:jc w:val="left"/>
    </w:pPr>
    <w:rPr>
      <w:sz w:val="18"/>
      <w:szCs w:val="18"/>
    </w:rPr>
  </w:style>
  <w:style w:type="character" w:customStyle="1" w:styleId="Char0">
    <w:name w:val="页脚 Char"/>
    <w:basedOn w:val="a0"/>
    <w:link w:val="a4"/>
    <w:uiPriority w:val="99"/>
    <w:rsid w:val="00FA1D2F"/>
    <w:rPr>
      <w:sz w:val="18"/>
      <w:szCs w:val="18"/>
    </w:rPr>
  </w:style>
  <w:style w:type="paragraph" w:styleId="a5">
    <w:name w:val="Normal (Web)"/>
    <w:basedOn w:val="a"/>
    <w:uiPriority w:val="99"/>
    <w:semiHidden/>
    <w:unhideWhenUsed/>
    <w:rsid w:val="00FA1D2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A1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Microsoft</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2015-11-12T01:08:00Z</dcterms:created>
  <dcterms:modified xsi:type="dcterms:W3CDTF">2015-11-12T01:08:00Z</dcterms:modified>
</cp:coreProperties>
</file>